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2" w:type="dxa"/>
        <w:tblInd w:w="-318" w:type="dxa"/>
        <w:tblLook w:val="01E0" w:firstRow="1" w:lastRow="1" w:firstColumn="1" w:lastColumn="1" w:noHBand="0" w:noVBand="0"/>
      </w:tblPr>
      <w:tblGrid>
        <w:gridCol w:w="4112"/>
        <w:gridCol w:w="5910"/>
      </w:tblGrid>
      <w:tr w:rsidR="004E2173" w:rsidRPr="00E35EF9" w14:paraId="6D203A83" w14:textId="77777777" w:rsidTr="00E245F4">
        <w:trPr>
          <w:trHeight w:val="1271"/>
        </w:trPr>
        <w:tc>
          <w:tcPr>
            <w:tcW w:w="4112" w:type="dxa"/>
          </w:tcPr>
          <w:p w14:paraId="675E38AB" w14:textId="77777777" w:rsidR="00DC7248" w:rsidRPr="00E35EF9" w:rsidRDefault="00400A78" w:rsidP="004711EE">
            <w:pPr>
              <w:jc w:val="center"/>
              <w:rPr>
                <w:b/>
                <w:sz w:val="26"/>
                <w:szCs w:val="26"/>
              </w:rPr>
            </w:pPr>
            <w:r w:rsidRPr="00E35EF9">
              <w:rPr>
                <w:b/>
                <w:sz w:val="26"/>
                <w:szCs w:val="26"/>
              </w:rPr>
              <w:t>ỦY BAN NHÂN DÂN</w:t>
            </w:r>
          </w:p>
          <w:p w14:paraId="24B0F960" w14:textId="77777777" w:rsidR="00400A78" w:rsidRPr="00E35EF9" w:rsidRDefault="00400A78" w:rsidP="004711EE">
            <w:pPr>
              <w:jc w:val="center"/>
              <w:rPr>
                <w:b/>
                <w:sz w:val="26"/>
                <w:szCs w:val="26"/>
              </w:rPr>
            </w:pPr>
            <w:r w:rsidRPr="00E35EF9">
              <w:rPr>
                <w:b/>
                <w:sz w:val="26"/>
                <w:szCs w:val="26"/>
              </w:rPr>
              <w:t>TỈNH AN GIANG</w:t>
            </w:r>
          </w:p>
          <w:p w14:paraId="345B9804" w14:textId="6C6D0AB0" w:rsidR="00DC7248" w:rsidRPr="00E35EF9" w:rsidRDefault="00E11619" w:rsidP="00585753">
            <w:pPr>
              <w:spacing w:before="240"/>
              <w:jc w:val="center"/>
              <w:rPr>
                <w:sz w:val="26"/>
                <w:szCs w:val="26"/>
              </w:rPr>
            </w:pPr>
            <w:r w:rsidRPr="00E35EF9">
              <w:rPr>
                <w:b/>
                <w:sz w:val="26"/>
                <w:szCs w:val="26"/>
              </w:rPr>
              <mc:AlternateContent>
                <mc:Choice Requires="wps">
                  <w:drawing>
                    <wp:anchor distT="0" distB="0" distL="114300" distR="114300" simplePos="0" relativeHeight="251656192" behindDoc="0" locked="0" layoutInCell="1" allowOverlap="1" wp14:anchorId="7AAC725A" wp14:editId="5339D353">
                      <wp:simplePos x="0" y="0"/>
                      <wp:positionH relativeFrom="column">
                        <wp:posOffset>836930</wp:posOffset>
                      </wp:positionH>
                      <wp:positionV relativeFrom="paragraph">
                        <wp:posOffset>20320</wp:posOffset>
                      </wp:positionV>
                      <wp:extent cx="800100" cy="0"/>
                      <wp:effectExtent l="10160" t="5715" r="8890" b="13335"/>
                      <wp:wrapNone/>
                      <wp:docPr id="13097500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8924188"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6pt" to="128.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"/>
                  </w:pict>
                </mc:Fallback>
              </mc:AlternateContent>
            </w:r>
            <w:r w:rsidR="00DC7248" w:rsidRPr="00E35EF9">
              <w:rPr>
                <w:sz w:val="26"/>
                <w:szCs w:val="26"/>
              </w:rPr>
              <w:t>Số:</w:t>
            </w:r>
            <w:r w:rsidR="00A21191" w:rsidRPr="00E35EF9">
              <w:rPr>
                <w:sz w:val="26"/>
                <w:szCs w:val="26"/>
              </w:rPr>
              <w:t xml:space="preserve"> </w:t>
            </w:r>
            <w:r w:rsidR="00851A0C" w:rsidRPr="00E35EF9">
              <w:rPr>
                <w:sz w:val="26"/>
                <w:szCs w:val="26"/>
              </w:rPr>
              <w:t xml:space="preserve">     </w:t>
            </w:r>
            <w:r w:rsidR="00DC7248" w:rsidRPr="00E35EF9">
              <w:rPr>
                <w:sz w:val="26"/>
                <w:szCs w:val="26"/>
              </w:rPr>
              <w:t>/</w:t>
            </w:r>
            <w:r w:rsidR="00E245F4">
              <w:rPr>
                <w:sz w:val="26"/>
                <w:szCs w:val="26"/>
              </w:rPr>
              <w:t>TTr-</w:t>
            </w:r>
            <w:r w:rsidR="007C1DCF" w:rsidRPr="00E35EF9">
              <w:rPr>
                <w:sz w:val="26"/>
                <w:szCs w:val="26"/>
              </w:rPr>
              <w:t>UBND</w:t>
            </w:r>
          </w:p>
          <w:p w14:paraId="38E39783" w14:textId="55E24D78" w:rsidR="000565BC" w:rsidRPr="00E35EF9" w:rsidRDefault="00E11619" w:rsidP="00851A0C">
            <w:pPr>
              <w:spacing w:before="120"/>
              <w:jc w:val="center"/>
              <w:rPr>
                <w:sz w:val="26"/>
                <w:szCs w:val="26"/>
              </w:rPr>
            </w:pPr>
            <w:r>
              <w:rPr>
                <w:b/>
                <w:sz w:val="26"/>
                <w:szCs w:val="26"/>
              </w:rPr>
              <mc:AlternateContent>
                <mc:Choice Requires="wps">
                  <w:drawing>
                    <wp:anchor distT="0" distB="0" distL="114300" distR="114300" simplePos="0" relativeHeight="251659264" behindDoc="0" locked="0" layoutInCell="1" allowOverlap="1" wp14:anchorId="44ABD657" wp14:editId="776AC3B1">
                      <wp:simplePos x="0" y="0"/>
                      <wp:positionH relativeFrom="column">
                        <wp:posOffset>588645</wp:posOffset>
                      </wp:positionH>
                      <wp:positionV relativeFrom="paragraph">
                        <wp:posOffset>54610</wp:posOffset>
                      </wp:positionV>
                      <wp:extent cx="1181100" cy="358140"/>
                      <wp:effectExtent l="7620" t="6985" r="11430" b="6350"/>
                      <wp:wrapNone/>
                      <wp:docPr id="19545348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58140"/>
                              </a:xfrm>
                              <a:prstGeom prst="rect">
                                <a:avLst/>
                              </a:prstGeom>
                              <a:solidFill>
                                <a:srgbClr val="FFFFFF"/>
                              </a:solidFill>
                              <a:ln w="9525">
                                <a:solidFill>
                                  <a:srgbClr val="000000"/>
                                </a:solidFill>
                                <a:miter lim="800000"/>
                                <a:headEnd/>
                                <a:tailEnd/>
                              </a:ln>
                            </wps:spPr>
                            <wps:txbx>
                              <w:txbxContent>
                                <w:p w14:paraId="2F5ED53D" w14:textId="77777777" w:rsidR="008B6148" w:rsidRPr="008B6148" w:rsidRDefault="008B6148" w:rsidP="008B6148">
                                  <w:pPr>
                                    <w:jc w:val="center"/>
                                    <w:rPr>
                                      <w:i/>
                                      <w:iCs/>
                                      <w:color w:val="000000"/>
                                      <w:lang w:val="vi-VN"/>
                                    </w:rPr>
                                  </w:pPr>
                                  <w:r w:rsidRPr="008B6148">
                                    <w:rPr>
                                      <w:i/>
                                      <w:iCs/>
                                      <w:color w:val="000000"/>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BD657" id="Rectangle 5" o:spid="_x0000_s1026" style="position:absolute;left:0;text-align:left;margin-left:46.35pt;margin-top:4.3pt;width:93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3HEgIAACE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">
                      <v:textbox>
                        <w:txbxContent>
                          <w:p w14:paraId="2F5ED53D" w14:textId="77777777" w:rsidR="008B6148" w:rsidRPr="008B6148" w:rsidRDefault="008B6148" w:rsidP="008B6148">
                            <w:pPr>
                              <w:jc w:val="center"/>
                              <w:rPr>
                                <w:i/>
                                <w:iCs/>
                                <w:color w:val="000000"/>
                                <w:lang w:val="vi-VN"/>
                              </w:rPr>
                            </w:pPr>
                            <w:r w:rsidRPr="008B6148">
                              <w:rPr>
                                <w:i/>
                                <w:iCs/>
                                <w:color w:val="000000"/>
                                <w:lang w:val="vi-VN"/>
                              </w:rPr>
                              <w:t>DỰ THẢO</w:t>
                            </w:r>
                          </w:p>
                        </w:txbxContent>
                      </v:textbox>
                    </v:rect>
                  </w:pict>
                </mc:Fallback>
              </mc:AlternateContent>
            </w:r>
          </w:p>
        </w:tc>
        <w:tc>
          <w:tcPr>
            <w:tcW w:w="5910" w:type="dxa"/>
          </w:tcPr>
          <w:p w14:paraId="0E385010" w14:textId="77777777" w:rsidR="00DC7248" w:rsidRPr="00E35EF9" w:rsidRDefault="00DC7248" w:rsidP="004711EE">
            <w:pPr>
              <w:jc w:val="center"/>
              <w:rPr>
                <w:b/>
                <w:sz w:val="26"/>
              </w:rPr>
            </w:pPr>
            <w:r w:rsidRPr="00E35EF9">
              <w:rPr>
                <w:b/>
                <w:sz w:val="26"/>
              </w:rPr>
              <w:t>CỘNG H</w:t>
            </w:r>
            <w:r w:rsidR="0075480A" w:rsidRPr="00E35EF9">
              <w:rPr>
                <w:b/>
                <w:sz w:val="26"/>
              </w:rPr>
              <w:t>ÒA</w:t>
            </w:r>
            <w:r w:rsidRPr="00E35EF9">
              <w:rPr>
                <w:b/>
                <w:sz w:val="26"/>
              </w:rPr>
              <w:t xml:space="preserve"> XÃ HỘI CHỦ NGHĨA VIỆT NAM</w:t>
            </w:r>
          </w:p>
          <w:p w14:paraId="216436A1" w14:textId="77777777" w:rsidR="00DC7248" w:rsidRPr="00E35EF9" w:rsidRDefault="00DC7248" w:rsidP="004711EE">
            <w:pPr>
              <w:jc w:val="center"/>
              <w:rPr>
                <w:b/>
              </w:rPr>
            </w:pPr>
            <w:r w:rsidRPr="00E35EF9">
              <w:rPr>
                <w:b/>
              </w:rPr>
              <w:t>Độc lập - Tự do - Hạnh phúc</w:t>
            </w:r>
          </w:p>
          <w:p w14:paraId="1C90768A" w14:textId="3E207921" w:rsidR="00DC7248" w:rsidRPr="00E35EF9" w:rsidRDefault="00E11619" w:rsidP="00851A0C">
            <w:pPr>
              <w:spacing w:before="240"/>
              <w:jc w:val="center"/>
              <w:rPr>
                <w:i/>
              </w:rPr>
            </w:pPr>
            <w:r w:rsidRPr="00E35EF9">
              <mc:AlternateContent>
                <mc:Choice Requires="wps">
                  <w:drawing>
                    <wp:anchor distT="0" distB="0" distL="114300" distR="114300" simplePos="0" relativeHeight="251657216" behindDoc="0" locked="0" layoutInCell="1" allowOverlap="1" wp14:anchorId="0F4A93F6" wp14:editId="0F1385FD">
                      <wp:simplePos x="0" y="0"/>
                      <wp:positionH relativeFrom="column">
                        <wp:posOffset>704850</wp:posOffset>
                      </wp:positionH>
                      <wp:positionV relativeFrom="paragraph">
                        <wp:posOffset>17780</wp:posOffset>
                      </wp:positionV>
                      <wp:extent cx="2185035" cy="0"/>
                      <wp:effectExtent l="12700" t="8255" r="12065" b="10795"/>
                      <wp:wrapNone/>
                      <wp:docPr id="11273331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7E3CAC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pt" to="227.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jusAEAAEgDAAAOAAAAZHJzL2Uyb0RvYy54bWysU8Fu2zAMvQ/YPwi6L3YyZO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"/>
                  </w:pict>
                </mc:Fallback>
              </mc:AlternateContent>
            </w:r>
            <w:r w:rsidR="00DC7248" w:rsidRPr="00E35EF9">
              <w:rPr>
                <w:i/>
              </w:rPr>
              <w:t>An Giang, ngày</w:t>
            </w:r>
            <w:r w:rsidR="00A21191" w:rsidRPr="00E35EF9">
              <w:rPr>
                <w:i/>
              </w:rPr>
              <w:t xml:space="preserve"> </w:t>
            </w:r>
            <w:r w:rsidR="004C00BC" w:rsidRPr="00E35EF9">
              <w:rPr>
                <w:i/>
              </w:rPr>
              <w:t xml:space="preserve"> </w:t>
            </w:r>
            <w:r w:rsidR="008B6148">
              <w:rPr>
                <w:i/>
                <w:lang w:val="vi-VN"/>
              </w:rPr>
              <w:t xml:space="preserve">   </w:t>
            </w:r>
            <w:r w:rsidR="00700937" w:rsidRPr="00E35EF9">
              <w:rPr>
                <w:i/>
              </w:rPr>
              <w:t xml:space="preserve"> </w:t>
            </w:r>
            <w:r w:rsidR="00DC7248" w:rsidRPr="00E35EF9">
              <w:rPr>
                <w:i/>
              </w:rPr>
              <w:t>tháng</w:t>
            </w:r>
            <w:r w:rsidR="008B6148">
              <w:rPr>
                <w:i/>
                <w:lang w:val="vi-VN"/>
              </w:rPr>
              <w:t xml:space="preserve">  </w:t>
            </w:r>
            <w:r w:rsidR="00A154BF" w:rsidRPr="00E35EF9">
              <w:rPr>
                <w:i/>
              </w:rPr>
              <w:t xml:space="preserve"> </w:t>
            </w:r>
            <w:r w:rsidR="00DC7248" w:rsidRPr="00E35EF9">
              <w:rPr>
                <w:i/>
              </w:rPr>
              <w:t xml:space="preserve"> năm 20</w:t>
            </w:r>
            <w:r w:rsidR="00E05E18" w:rsidRPr="00E35EF9">
              <w:rPr>
                <w:i/>
              </w:rPr>
              <w:t>2</w:t>
            </w:r>
            <w:r w:rsidR="00C0659E">
              <w:rPr>
                <w:i/>
              </w:rPr>
              <w:t>6</w:t>
            </w:r>
          </w:p>
        </w:tc>
      </w:tr>
    </w:tbl>
    <w:p w14:paraId="08719E24" w14:textId="77777777" w:rsidR="005E284A" w:rsidRPr="00E35EF9" w:rsidRDefault="00DC7248" w:rsidP="00764C4C">
      <w:pPr>
        <w:rPr>
          <w:sz w:val="22"/>
        </w:rPr>
      </w:pPr>
      <w:r w:rsidRPr="00E35EF9">
        <w:rPr>
          <w:sz w:val="22"/>
        </w:rPr>
        <w:t xml:space="preserve"> </w:t>
      </w:r>
    </w:p>
    <w:p w14:paraId="09CC89F2" w14:textId="77777777" w:rsidR="00E245F4" w:rsidRPr="00E245F4" w:rsidRDefault="00E245F4" w:rsidP="000B02AF">
      <w:pPr>
        <w:widowControl w:val="0"/>
        <w:tabs>
          <w:tab w:val="left" w:pos="0"/>
        </w:tabs>
        <w:jc w:val="center"/>
        <w:rPr>
          <w:b/>
          <w:bCs/>
          <w:noProof w:val="0"/>
        </w:rPr>
      </w:pPr>
      <w:bookmarkStart w:id="0" w:name="_Hlk171929751"/>
      <w:r w:rsidRPr="00E245F4">
        <w:rPr>
          <w:b/>
          <w:bCs/>
          <w:noProof w:val="0"/>
        </w:rPr>
        <w:t>TỜ TRÌNH</w:t>
      </w:r>
    </w:p>
    <w:p w14:paraId="06D4CB9B" w14:textId="201BB297" w:rsidR="00E245F4" w:rsidRDefault="00E245F4" w:rsidP="000B02AF">
      <w:pPr>
        <w:widowControl w:val="0"/>
        <w:tabs>
          <w:tab w:val="left" w:pos="0"/>
        </w:tabs>
        <w:jc w:val="center"/>
        <w:rPr>
          <w:b/>
          <w:bCs/>
          <w:noProof w:val="0"/>
        </w:rPr>
      </w:pPr>
      <w:r>
        <w:rPr>
          <w:b/>
          <w:bCs/>
          <w:noProof w:val="0"/>
        </w:rPr>
        <w:t xml:space="preserve">Dự thảo </w:t>
      </w:r>
      <w:r w:rsidRPr="00E245F4">
        <w:rPr>
          <w:b/>
          <w:bCs/>
          <w:noProof w:val="0"/>
        </w:rPr>
        <w:t xml:space="preserve">Nghị quyết </w:t>
      </w:r>
      <w:r w:rsidR="00C0659E">
        <w:rPr>
          <w:b/>
          <w:bCs/>
          <w:noProof w:val="0"/>
        </w:rPr>
        <w:t>q</w:t>
      </w:r>
      <w:r w:rsidR="00C0659E" w:rsidRPr="00C0659E">
        <w:rPr>
          <w:b/>
          <w:bCs/>
          <w:noProof w:val="0"/>
        </w:rPr>
        <w:t>uy định khu vực không được phép chăn nuôi, vùng nuôi chim yến và chính sách hỗ trợ khi di dời cơ sở chăn nuôi ra khỏi khu vực không được phép chăn nuôi trên địa bàn tỉnh An Giang</w:t>
      </w:r>
    </w:p>
    <w:p w14:paraId="2C939FC0" w14:textId="067863D7" w:rsidR="00E245F4" w:rsidRPr="00E245F4" w:rsidRDefault="00E11619" w:rsidP="00E245F4">
      <w:pPr>
        <w:widowControl w:val="0"/>
        <w:tabs>
          <w:tab w:val="left" w:pos="0"/>
        </w:tabs>
        <w:spacing w:before="120"/>
        <w:jc w:val="center"/>
        <w:rPr>
          <w:b/>
          <w:bCs/>
          <w:noProof w:val="0"/>
        </w:rPr>
      </w:pPr>
      <w:r>
        <w:rPr>
          <w:b/>
          <w:bCs/>
        </w:rPr>
        <mc:AlternateContent>
          <mc:Choice Requires="wps">
            <w:drawing>
              <wp:anchor distT="0" distB="0" distL="114300" distR="114300" simplePos="0" relativeHeight="251658240" behindDoc="0" locked="0" layoutInCell="1" allowOverlap="1" wp14:anchorId="3B1AFB5D" wp14:editId="48733300">
                <wp:simplePos x="0" y="0"/>
                <wp:positionH relativeFrom="column">
                  <wp:posOffset>2340610</wp:posOffset>
                </wp:positionH>
                <wp:positionV relativeFrom="paragraph">
                  <wp:posOffset>86995</wp:posOffset>
                </wp:positionV>
                <wp:extent cx="1190625" cy="0"/>
                <wp:effectExtent l="10795" t="6985" r="8255" b="12065"/>
                <wp:wrapNone/>
                <wp:docPr id="4956088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AC4C562" id="_x0000_t32" coordsize="21600,21600" o:spt="32" o:oned="t" path="m,l21600,21600e" filled="f">
                <v:path arrowok="t" fillok="f" o:connecttype="none"/>
                <o:lock v:ext="edit" shapetype="t"/>
              </v:shapetype>
              <v:shape id="AutoShape 4" o:spid="_x0000_s1026" type="#_x0000_t32" style="position:absolute;margin-left:184.3pt;margin-top:6.85pt;width:9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"/>
            </w:pict>
          </mc:Fallback>
        </mc:AlternateContent>
      </w:r>
    </w:p>
    <w:p w14:paraId="36644332" w14:textId="3D265917" w:rsidR="00E245F4" w:rsidRDefault="00E245F4" w:rsidP="000B02AF">
      <w:pPr>
        <w:widowControl w:val="0"/>
        <w:tabs>
          <w:tab w:val="left" w:pos="0"/>
        </w:tabs>
        <w:spacing w:before="120" w:after="240"/>
        <w:jc w:val="center"/>
        <w:rPr>
          <w:noProof w:val="0"/>
        </w:rPr>
      </w:pPr>
      <w:r w:rsidRPr="00E245F4">
        <w:rPr>
          <w:noProof w:val="0"/>
        </w:rPr>
        <w:t>Kính gửi: Hội đồng nhân dân tỉnh</w:t>
      </w:r>
      <w:r w:rsidR="00E11619">
        <w:rPr>
          <w:noProof w:val="0"/>
        </w:rPr>
        <w:t xml:space="preserve"> An Giang</w:t>
      </w:r>
    </w:p>
    <w:p w14:paraId="3F72A2B7" w14:textId="77777777" w:rsidR="007F2116" w:rsidRPr="00831E36" w:rsidRDefault="007F2116" w:rsidP="002D1180">
      <w:pPr>
        <w:widowControl w:val="0"/>
        <w:tabs>
          <w:tab w:val="left" w:pos="0"/>
        </w:tabs>
        <w:spacing w:before="120"/>
        <w:ind w:firstLine="720"/>
        <w:jc w:val="both"/>
        <w:rPr>
          <w:noProof w:val="0"/>
        </w:rPr>
      </w:pPr>
      <w:r w:rsidRPr="00831E36">
        <w:rPr>
          <w:noProof w:val="0"/>
        </w:rPr>
        <w:t>Căn cứ Luật Ban hành văn bản quy phạm pháp luật số 64/2025/QH15</w:t>
      </w:r>
      <w:r w:rsidRPr="00831E36">
        <w:rPr>
          <w:noProof w:val="0"/>
        </w:rPr>
        <w:br/>
        <w:t>được sửa đổi, bổ sung bởi Luật số 87/2025/QH15;</w:t>
      </w:r>
    </w:p>
    <w:p w14:paraId="2BD9203F" w14:textId="77777777" w:rsidR="007F2116" w:rsidRPr="00831E36" w:rsidRDefault="007F2116" w:rsidP="002D1180">
      <w:pPr>
        <w:widowControl w:val="0"/>
        <w:tabs>
          <w:tab w:val="left" w:pos="0"/>
        </w:tabs>
        <w:spacing w:before="120"/>
        <w:ind w:firstLine="720"/>
        <w:jc w:val="both"/>
        <w:rPr>
          <w:noProof w:val="0"/>
        </w:rPr>
      </w:pPr>
      <w:r w:rsidRPr="00831E36">
        <w:rPr>
          <w:noProof w:val="0"/>
        </w:rPr>
        <w:t>Căn cứ Nghị định số 78/2025/NĐ-CP của Chính phủ quy định chi tiết một</w:t>
      </w:r>
      <w:r w:rsidRPr="00831E36">
        <w:rPr>
          <w:noProof w:val="0"/>
        </w:rPr>
        <w:br/>
        <w:t>số điều và biện pháp để tổ chức, hướng dẫn thi hành Luật Ban hành văn bản quy phạm pháp luật được sửa đổi, bổ sung bởi Nghị định số 187/2025/NĐ-CP;</w:t>
      </w:r>
    </w:p>
    <w:p w14:paraId="43B6DB97" w14:textId="77777777" w:rsidR="007F2116" w:rsidRPr="00831E36" w:rsidRDefault="00323F84" w:rsidP="002D1180">
      <w:pPr>
        <w:widowControl w:val="0"/>
        <w:tabs>
          <w:tab w:val="left" w:pos="0"/>
        </w:tabs>
        <w:spacing w:before="120"/>
        <w:ind w:firstLine="720"/>
        <w:jc w:val="both"/>
        <w:rPr>
          <w:noProof w:val="0"/>
        </w:rPr>
      </w:pPr>
      <w:r w:rsidRPr="00831E36">
        <w:rPr>
          <w:noProof w:val="0"/>
        </w:rPr>
        <w:t xml:space="preserve">Căn cứ </w:t>
      </w:r>
      <w:r w:rsidR="007F2116" w:rsidRPr="00831E36">
        <w:rPr>
          <w:noProof w:val="0"/>
        </w:rPr>
        <w:t>Nghị định số 187/NĐ-CP ngày 01/7/2025 của Chính phủ sửa đổi, bổ sung một số điều của Nghị định số 78/2025/NĐ-CP ngày 01 tháng 4 năm 2025 của Chính phủ quy định chi tiết một số điều và biện pháp để tổ chức, hướng dẫn thi hành Luật Ban hành văn bản quy phạm pháp luật và Nghị định số 79/2025/NĐ-CP ngày 01 tháng 4 năm 2025 của Chính phủ về kiểm tra, rà soát, hệ thống hóa và xử lý văn bản quy phạm pháp luật;</w:t>
      </w:r>
    </w:p>
    <w:p w14:paraId="59130D5D" w14:textId="74E53EC6" w:rsidR="007F2116" w:rsidRPr="00323F84" w:rsidRDefault="007F2116" w:rsidP="002D1180">
      <w:pPr>
        <w:widowControl w:val="0"/>
        <w:tabs>
          <w:tab w:val="left" w:pos="0"/>
        </w:tabs>
        <w:spacing w:before="120"/>
        <w:ind w:firstLine="720"/>
        <w:jc w:val="both"/>
        <w:rPr>
          <w:noProof w:val="0"/>
        </w:rPr>
      </w:pPr>
      <w:r w:rsidRPr="00323F84">
        <w:rPr>
          <w:noProof w:val="0"/>
        </w:rPr>
        <w:t xml:space="preserve">Ủy ban nhân dân tỉnh kính trình Hội đồng nhân dân tỉnh </w:t>
      </w:r>
      <w:r w:rsidR="008B6148">
        <w:rPr>
          <w:noProof w:val="0"/>
          <w:lang w:val="vi-VN"/>
        </w:rPr>
        <w:t>ban hành</w:t>
      </w:r>
      <w:r w:rsidRPr="00323F84">
        <w:rPr>
          <w:noProof w:val="0"/>
        </w:rPr>
        <w:t xml:space="preserve"> Nghị quyết </w:t>
      </w:r>
      <w:r w:rsidR="00DA59A8" w:rsidRPr="00DA59A8">
        <w:rPr>
          <w:noProof w:val="0"/>
        </w:rPr>
        <w:t>quy định khu vực không được phép chăn nuôi, vùng nuôi chim yến và chính sách hỗ trợ khi di dời cơ sở chăn nuôi ra khỏi khu vực không được phép chăn nuôi trên địa bàn tỉnh An Giang</w:t>
      </w:r>
      <w:r w:rsidRPr="00323F84">
        <w:rPr>
          <w:noProof w:val="0"/>
        </w:rPr>
        <w:t>, cụ thể như sau:</w:t>
      </w:r>
    </w:p>
    <w:p w14:paraId="4AF49D00" w14:textId="77777777" w:rsidR="007F2116" w:rsidRPr="00323F84" w:rsidRDefault="007F2116" w:rsidP="002D1180">
      <w:pPr>
        <w:widowControl w:val="0"/>
        <w:tabs>
          <w:tab w:val="left" w:pos="0"/>
        </w:tabs>
        <w:spacing w:before="120"/>
        <w:ind w:firstLine="720"/>
        <w:jc w:val="both"/>
        <w:rPr>
          <w:b/>
          <w:bCs/>
          <w:noProof w:val="0"/>
        </w:rPr>
      </w:pPr>
      <w:r w:rsidRPr="00323F84">
        <w:rPr>
          <w:b/>
          <w:bCs/>
          <w:noProof w:val="0"/>
        </w:rPr>
        <w:t xml:space="preserve">I. CĂN CỨ, SỰ CẦN THIẾT BAN HÀNH VĂN BẢN </w:t>
      </w:r>
    </w:p>
    <w:p w14:paraId="2537D847" w14:textId="77777777" w:rsidR="007F2116" w:rsidRPr="00323F84" w:rsidRDefault="007F2116" w:rsidP="002D1180">
      <w:pPr>
        <w:widowControl w:val="0"/>
        <w:tabs>
          <w:tab w:val="left" w:pos="0"/>
        </w:tabs>
        <w:spacing w:before="120"/>
        <w:ind w:firstLine="720"/>
        <w:jc w:val="both"/>
        <w:rPr>
          <w:noProof w:val="0"/>
        </w:rPr>
      </w:pPr>
      <w:r w:rsidRPr="00323F84">
        <w:rPr>
          <w:b/>
          <w:bCs/>
          <w:noProof w:val="0"/>
        </w:rPr>
        <w:t>1. Cơ sở chính trị, pháp lý</w:t>
      </w:r>
      <w:r w:rsidRPr="00323F84">
        <w:rPr>
          <w:noProof w:val="0"/>
        </w:rPr>
        <w:t xml:space="preserve">  </w:t>
      </w:r>
    </w:p>
    <w:p w14:paraId="2BF61E16" w14:textId="77777777" w:rsidR="005918B3" w:rsidRPr="00C301BD" w:rsidRDefault="005918B3" w:rsidP="005918B3">
      <w:pPr>
        <w:spacing w:before="120" w:line="264" w:lineRule="auto"/>
        <w:ind w:firstLine="720"/>
        <w:contextualSpacing/>
        <w:jc w:val="both"/>
        <w:rPr>
          <w:lang w:val="nl-NL"/>
        </w:rPr>
      </w:pPr>
      <w:r w:rsidRPr="00C301BD">
        <w:rPr>
          <w:lang w:val="nl-NL"/>
        </w:rPr>
        <w:t>a) Căn cứ Luật Tổ chức chính quyền địa phương số 72/2025/QH15.</w:t>
      </w:r>
    </w:p>
    <w:p w14:paraId="1BECE9D1" w14:textId="77777777" w:rsidR="005918B3" w:rsidRPr="00C301BD" w:rsidRDefault="005918B3" w:rsidP="005918B3">
      <w:pPr>
        <w:spacing w:before="120" w:line="264" w:lineRule="auto"/>
        <w:ind w:firstLine="720"/>
        <w:contextualSpacing/>
        <w:jc w:val="both"/>
        <w:rPr>
          <w:lang w:val="nl-NL"/>
        </w:rPr>
      </w:pPr>
      <w:r w:rsidRPr="00C301BD">
        <w:rPr>
          <w:lang w:val="nl-NL"/>
        </w:rPr>
        <w:t>b) Căn cứ điểm b khoản 2 Điều 4 của Luật Chăn nuôi số 32/2018/QH14 được sửa đổi, bổ sung tại điểm b khoản 18, điểm a khoản 19 Điều 3 Luật số 146/2025/QH15 quy định:</w:t>
      </w:r>
    </w:p>
    <w:p w14:paraId="6AD2B6C3"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i/>
          <w:iCs/>
          <w:lang w:val="nl-NL"/>
        </w:rPr>
        <w:t>Điều 4. Chính sách của Nhà nước về chăn nuôi</w:t>
      </w:r>
    </w:p>
    <w:p w14:paraId="30BA4DC1"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2. Trong từng thời kỳ và khả năng của ngân sách nhà nước, Nhà nước hỗ trợ cho các hoạt động sau đây:</w:t>
      </w:r>
    </w:p>
    <w:p w14:paraId="7645A2C7" w14:textId="77777777" w:rsidR="005918B3" w:rsidRPr="00C301BD" w:rsidRDefault="005918B3" w:rsidP="005918B3">
      <w:pPr>
        <w:spacing w:before="120" w:line="264" w:lineRule="auto"/>
        <w:ind w:firstLine="720"/>
        <w:contextualSpacing/>
        <w:jc w:val="both"/>
        <w:rPr>
          <w:lang w:val="nl-NL"/>
        </w:rPr>
      </w:pPr>
      <w:r w:rsidRPr="00C301BD">
        <w:rPr>
          <w:i/>
          <w:iCs/>
          <w:lang w:val="nl-NL"/>
        </w:rPr>
        <w:t>b)</w:t>
      </w:r>
      <w:r w:rsidRPr="00C301BD">
        <w:rPr>
          <w:lang w:val="nl-NL"/>
        </w:rPr>
        <w:t xml:space="preserve"> </w:t>
      </w:r>
      <w:r w:rsidRPr="00C301BD">
        <w:rPr>
          <w:i/>
          <w:iCs/>
          <w:lang w:val="nl-NL"/>
        </w:rPr>
        <w:t>Xây dựng vùng chăn nuôi an toàn dịch bệnh, an toàn sinh học; xử lý môi trường chăn nuôi; phát triển các mô hình thực hành chăn nuôi tốt; di dời cơ sở chăn nuôi ra khỏi thành phố, xã, phường, đặc khu, cộng đồng dân cư không được phép chăn nuôi;”</w:t>
      </w:r>
    </w:p>
    <w:p w14:paraId="688298F0" w14:textId="77777777" w:rsidR="005918B3" w:rsidRPr="00C301BD" w:rsidRDefault="005918B3" w:rsidP="005918B3">
      <w:pPr>
        <w:spacing w:before="120" w:line="264" w:lineRule="auto"/>
        <w:ind w:firstLine="720"/>
        <w:contextualSpacing/>
        <w:jc w:val="both"/>
        <w:rPr>
          <w:lang w:val="nl-NL"/>
        </w:rPr>
      </w:pPr>
      <w:r w:rsidRPr="00C301BD">
        <w:rPr>
          <w:lang w:val="nl-NL"/>
        </w:rPr>
        <w:lastRenderedPageBreak/>
        <w:t>c) Căn cứ khoản 1 Điều 12 Căn cứ Luật Chăn nuôi số 32/2018/QH14 được sửa đổi, bổ sung tại điểm b khoản 18, điểm a khoản 19 của Luật số 146/2025/QH15 quy định:</w:t>
      </w:r>
    </w:p>
    <w:p w14:paraId="753217B6"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bCs/>
          <w:i/>
          <w:iCs/>
          <w:lang w:val="nl-NL"/>
        </w:rPr>
        <w:t>Điều 12. Các hành vi bị nghiêm cấm trong chăn nuôi</w:t>
      </w:r>
    </w:p>
    <w:p w14:paraId="1DC489DF" w14:textId="77777777" w:rsidR="005918B3" w:rsidRPr="00C301BD" w:rsidRDefault="005918B3" w:rsidP="005918B3">
      <w:pPr>
        <w:spacing w:before="120" w:line="264" w:lineRule="auto"/>
        <w:ind w:firstLine="720"/>
        <w:contextualSpacing/>
        <w:jc w:val="both"/>
        <w:rPr>
          <w:lang w:val="nl-NL"/>
        </w:rPr>
      </w:pPr>
      <w:r w:rsidRPr="00C301BD">
        <w:rPr>
          <w:i/>
          <w:iCs/>
          <w:lang w:val="nl-NL"/>
        </w:rPr>
        <w:t>1. Chăn nuôi trong khu vực không được phép chăn nuôi của thành phố,</w:t>
      </w:r>
      <w:r w:rsidRPr="005918B3">
        <w:rPr>
          <w:lang w:val="nl-NL"/>
        </w:rPr>
        <w:t xml:space="preserve"> </w:t>
      </w:r>
      <w:r w:rsidRPr="00C301BD">
        <w:rPr>
          <w:i/>
          <w:iCs/>
          <w:lang w:val="nl-NL"/>
        </w:rPr>
        <w:t>xã, phường, đặc khu, cộng đồng dân cư; trừ nuôi động vật làm cảnh, nuôi động vật trong phòng thí nghiệm mà không gây ô nhiễm môi trường.</w:t>
      </w:r>
      <w:r w:rsidRPr="00C301BD">
        <w:rPr>
          <w:lang w:val="nl-NL"/>
        </w:rPr>
        <w:t>”</w:t>
      </w:r>
    </w:p>
    <w:p w14:paraId="17E9E118" w14:textId="77777777" w:rsidR="005918B3" w:rsidRPr="00C301BD" w:rsidRDefault="005918B3" w:rsidP="005918B3">
      <w:pPr>
        <w:spacing w:before="120" w:line="264" w:lineRule="auto"/>
        <w:ind w:firstLine="720"/>
        <w:contextualSpacing/>
        <w:jc w:val="both"/>
        <w:rPr>
          <w:lang w:val="nl-NL"/>
        </w:rPr>
      </w:pPr>
      <w:r w:rsidRPr="00C301BD">
        <w:rPr>
          <w:lang w:val="nl-NL"/>
        </w:rPr>
        <w:t>d) Căn cứ Điều 64 của Luật Chăn nuôi số 32/2018/QH14 quy định:</w:t>
      </w:r>
    </w:p>
    <w:p w14:paraId="026D0839"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bCs/>
          <w:i/>
          <w:iCs/>
          <w:lang w:val="nl-NL"/>
        </w:rPr>
        <w:t>Điều 64. Quản lý nuôi chim yến</w:t>
      </w:r>
    </w:p>
    <w:p w14:paraId="2BE13685"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1. Dẫn dụ chim yến là việc sử dụng các biện pháp kỹ thuật để thu hút chim yến về làm tổ trong nhà yến.</w:t>
      </w:r>
    </w:p>
    <w:p w14:paraId="79F54E8D"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2. Hoạt động nuôi chim yến bao gồm dẫn dụ, ấp nở, gây nuôi chim yến và khai thác tổ yến.</w:t>
      </w:r>
    </w:p>
    <w:p w14:paraId="52D37DF1"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3. Tổ chức, cá nhân có hoạt động nuôi chim yến trong vùng nuôi chim yến phải bảo đảm môi trường, tiếng ồn, phòng ngừa dịch bệnh và an toàn thực phẩm theo quy định của pháp luật.</w:t>
      </w:r>
    </w:p>
    <w:p w14:paraId="1693772C" w14:textId="77777777" w:rsidR="005918B3" w:rsidRPr="00C301BD" w:rsidRDefault="005918B3" w:rsidP="005918B3">
      <w:pPr>
        <w:spacing w:before="120" w:line="264" w:lineRule="auto"/>
        <w:ind w:firstLine="720"/>
        <w:contextualSpacing/>
        <w:jc w:val="both"/>
        <w:rPr>
          <w:lang w:val="nl-NL"/>
        </w:rPr>
      </w:pPr>
      <w:r w:rsidRPr="00C301BD">
        <w:rPr>
          <w:i/>
          <w:iCs/>
          <w:lang w:val="nl-NL"/>
        </w:rPr>
        <w:t>4. Chính phủ quy định chi tiết Điều này.”</w:t>
      </w:r>
    </w:p>
    <w:p w14:paraId="324F86B0" w14:textId="77777777" w:rsidR="005918B3" w:rsidRPr="00C301BD" w:rsidRDefault="005918B3" w:rsidP="005918B3">
      <w:pPr>
        <w:spacing w:before="120" w:line="264" w:lineRule="auto"/>
        <w:ind w:firstLine="720"/>
        <w:contextualSpacing/>
        <w:jc w:val="both"/>
        <w:rPr>
          <w:lang w:val="nl-NL"/>
        </w:rPr>
      </w:pPr>
      <w:r w:rsidRPr="00C301BD">
        <w:rPr>
          <w:lang w:val="nl-NL"/>
        </w:rPr>
        <w:t>đ) Căn cứ điểm h khoản 1 Điều 80 của Luật Chăn nuôi số 32/2018/QH14 được sửa đổi, bổ sung tại điểm a khoản 17 Điều 3 của Luật số 146/2025/QH15, quy định:</w:t>
      </w:r>
    </w:p>
    <w:p w14:paraId="2FEECE27"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i/>
          <w:iCs/>
          <w:lang w:val="nl-NL"/>
        </w:rPr>
        <w:t>Điều 80. Trách nhiệm của Ủy ban nhân dân các cấp</w:t>
      </w:r>
    </w:p>
    <w:p w14:paraId="77677B31"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1. Ủy ban nhân dân cấp tỉnh, trong phạm vi nhiệm vụ, quyền hạn của mình, có trách nhiệm sau đây:</w:t>
      </w:r>
    </w:p>
    <w:p w14:paraId="57EDFC83" w14:textId="77777777" w:rsidR="005918B3" w:rsidRPr="00C301BD" w:rsidRDefault="005918B3" w:rsidP="005918B3">
      <w:pPr>
        <w:spacing w:before="120" w:line="264" w:lineRule="auto"/>
        <w:ind w:firstLine="720"/>
        <w:contextualSpacing/>
        <w:jc w:val="both"/>
        <w:rPr>
          <w:lang w:val="nl-NL"/>
        </w:rPr>
      </w:pPr>
      <w:r w:rsidRPr="00C301BD">
        <w:rPr>
          <w:i/>
          <w:iCs/>
          <w:lang w:val="nl-NL"/>
        </w:rPr>
        <w:t>h) Trình Hội đồng nhân dân cấp tỉnh quyết định khu vực không được phép chăn nuôi, quyết định vùng nuôi chim yến và chính sách hỗ trợ khi di dời cơ sở chăn nuôi ra khỏi khu vực không được phép chăn nuôi.</w:t>
      </w:r>
      <w:r w:rsidRPr="00C301BD">
        <w:rPr>
          <w:lang w:val="nl-NL"/>
        </w:rPr>
        <w:t>”</w:t>
      </w:r>
    </w:p>
    <w:p w14:paraId="5FFD1537" w14:textId="77777777" w:rsidR="005918B3" w:rsidRPr="00C301BD" w:rsidRDefault="005918B3" w:rsidP="005918B3">
      <w:pPr>
        <w:spacing w:before="120" w:line="264" w:lineRule="auto"/>
        <w:ind w:firstLine="720"/>
        <w:contextualSpacing/>
        <w:jc w:val="both"/>
        <w:rPr>
          <w:lang w:val="nl-NL"/>
        </w:rPr>
      </w:pPr>
      <w:r w:rsidRPr="00C301BD">
        <w:rPr>
          <w:lang w:val="nl-NL"/>
        </w:rPr>
        <w:t>e) Căn cứ khoản 2 Điều 83 của Luật Chăn nuôi số 32/2018/QH14 quy định:</w:t>
      </w:r>
    </w:p>
    <w:p w14:paraId="0B23C0D7"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i/>
          <w:iCs/>
          <w:lang w:val="nl-NL"/>
        </w:rPr>
        <w:t>Điều 83. Quy định chuyển tiếp</w:t>
      </w:r>
    </w:p>
    <w:p w14:paraId="75A9B41F" w14:textId="77777777" w:rsidR="005918B3" w:rsidRPr="00C301BD" w:rsidRDefault="005918B3" w:rsidP="005918B3">
      <w:pPr>
        <w:spacing w:before="120" w:line="264" w:lineRule="auto"/>
        <w:ind w:firstLine="720"/>
        <w:contextualSpacing/>
        <w:jc w:val="both"/>
        <w:rPr>
          <w:lang w:val="nl-NL"/>
        </w:rPr>
      </w:pPr>
      <w:r w:rsidRPr="00C301BD">
        <w:rPr>
          <w:i/>
          <w:iCs/>
          <w:lang w:val="nl-NL"/>
        </w:rPr>
        <w:t>2. Cơ sở chăn nuôi xây dựng và hoạt động trước ngày Luật này có hiệu lực thi hành thuộc khu vực quy định tại khoản 1 Điều 12 của Luật này thì trong thời hạn là 05 năm kể từ ngày Luật này có hiệu lực thi hành phải ngừng hoạt động hoặc di dời đến địa điểm phù hợp.</w:t>
      </w:r>
      <w:r w:rsidRPr="00C301BD">
        <w:rPr>
          <w:lang w:val="nl-NL"/>
        </w:rPr>
        <w:t>”</w:t>
      </w:r>
    </w:p>
    <w:p w14:paraId="0A6FF610" w14:textId="77777777" w:rsidR="005918B3" w:rsidRPr="00C301BD" w:rsidRDefault="005918B3" w:rsidP="005918B3">
      <w:pPr>
        <w:spacing w:before="120" w:line="264" w:lineRule="auto"/>
        <w:ind w:firstLine="720"/>
        <w:contextualSpacing/>
        <w:jc w:val="both"/>
        <w:rPr>
          <w:spacing w:val="-4"/>
          <w:lang w:val="nl-NL"/>
        </w:rPr>
      </w:pPr>
      <w:r w:rsidRPr="00C301BD">
        <w:rPr>
          <w:spacing w:val="-4"/>
          <w:lang w:val="nl-NL"/>
        </w:rPr>
        <w:t>g) Căn cứ điểm a, b khoản 1 Điều 25 của Nghị định số 13/2020/NĐ-CP ngày 21 tháng 01 năm 2020 của Chính phủ hướng dẫn chi tiết Luật Chăn nuôi quy định:</w:t>
      </w:r>
    </w:p>
    <w:p w14:paraId="043F6D67" w14:textId="77777777" w:rsidR="005918B3" w:rsidRPr="00C301BD" w:rsidRDefault="005918B3" w:rsidP="005918B3">
      <w:pPr>
        <w:spacing w:before="120" w:line="264" w:lineRule="auto"/>
        <w:ind w:firstLine="720"/>
        <w:contextualSpacing/>
        <w:jc w:val="both"/>
        <w:rPr>
          <w:i/>
          <w:iCs/>
          <w:spacing w:val="-4"/>
          <w:lang w:val="nl-NL"/>
        </w:rPr>
      </w:pPr>
      <w:r w:rsidRPr="00C301BD">
        <w:rPr>
          <w:spacing w:val="-4"/>
          <w:lang w:val="nl-NL"/>
        </w:rPr>
        <w:t>“</w:t>
      </w:r>
      <w:r w:rsidRPr="00C301BD">
        <w:rPr>
          <w:b/>
          <w:bCs/>
          <w:i/>
          <w:iCs/>
          <w:spacing w:val="-4"/>
          <w:lang w:val="nl-NL"/>
        </w:rPr>
        <w:t>Điều 25. Quản lý nuôi chim yến</w:t>
      </w:r>
    </w:p>
    <w:p w14:paraId="1054B4A1" w14:textId="77777777" w:rsidR="005918B3" w:rsidRPr="00C301BD" w:rsidRDefault="005918B3" w:rsidP="005918B3">
      <w:pPr>
        <w:spacing w:before="120" w:line="264" w:lineRule="auto"/>
        <w:ind w:firstLine="720"/>
        <w:contextualSpacing/>
        <w:jc w:val="both"/>
        <w:rPr>
          <w:i/>
          <w:iCs/>
          <w:spacing w:val="-4"/>
          <w:lang w:val="nl-NL"/>
        </w:rPr>
      </w:pPr>
      <w:r w:rsidRPr="00C301BD">
        <w:rPr>
          <w:i/>
          <w:iCs/>
          <w:spacing w:val="-4"/>
          <w:lang w:val="nl-NL"/>
        </w:rPr>
        <w:t>1. Quy định về vùng nuôi chim yến:</w:t>
      </w:r>
    </w:p>
    <w:p w14:paraId="1CA23E69" w14:textId="77777777" w:rsidR="005918B3" w:rsidRPr="00C301BD" w:rsidRDefault="005918B3" w:rsidP="005918B3">
      <w:pPr>
        <w:spacing w:before="120" w:line="264" w:lineRule="auto"/>
        <w:ind w:firstLine="720"/>
        <w:contextualSpacing/>
        <w:jc w:val="both"/>
        <w:rPr>
          <w:i/>
          <w:iCs/>
          <w:spacing w:val="-4"/>
          <w:lang w:val="nl-NL"/>
        </w:rPr>
      </w:pPr>
      <w:r w:rsidRPr="00C301BD">
        <w:rPr>
          <w:i/>
          <w:iCs/>
          <w:spacing w:val="-4"/>
          <w:lang w:val="nl-NL"/>
        </w:rPr>
        <w:t>a) Vùng nuôi chim yến do Ủy ban nhân dân cấp tỉnh trình Hội đồng nhân dân cấp tỉnh quyết định;</w:t>
      </w:r>
    </w:p>
    <w:p w14:paraId="17410548" w14:textId="77777777" w:rsidR="005918B3" w:rsidRPr="00C301BD" w:rsidRDefault="005918B3" w:rsidP="005918B3">
      <w:pPr>
        <w:spacing w:before="120" w:line="264" w:lineRule="auto"/>
        <w:ind w:firstLine="720"/>
        <w:contextualSpacing/>
        <w:jc w:val="both"/>
        <w:rPr>
          <w:spacing w:val="-4"/>
          <w:lang w:val="nl-NL"/>
        </w:rPr>
      </w:pPr>
      <w:r w:rsidRPr="00C301BD">
        <w:rPr>
          <w:i/>
          <w:iCs/>
          <w:spacing w:val="-4"/>
          <w:lang w:val="nl-NL"/>
        </w:rPr>
        <w:lastRenderedPageBreak/>
        <w:t>b) Vùng nuôi chim yến phải bảo đảm phù hợp tập tính hoạt động của chim yến, phù hợp điều kiện kinh tế - xã hội của địa phương và không gây ảnh hưởng đến đời sống của cư dân tại khu vực nuôi chim yến.</w:t>
      </w:r>
      <w:r w:rsidRPr="00C301BD">
        <w:rPr>
          <w:spacing w:val="-4"/>
          <w:lang w:val="nl-NL"/>
        </w:rPr>
        <w:t>”</w:t>
      </w:r>
    </w:p>
    <w:p w14:paraId="34746B68" w14:textId="77777777" w:rsidR="005918B3" w:rsidRPr="00E762DD" w:rsidRDefault="005918B3" w:rsidP="005918B3">
      <w:pPr>
        <w:spacing w:before="120" w:line="264" w:lineRule="auto"/>
        <w:ind w:firstLine="720"/>
        <w:contextualSpacing/>
        <w:jc w:val="both"/>
        <w:rPr>
          <w:spacing w:val="-4"/>
          <w:highlight w:val="yellow"/>
          <w:lang w:val="nl-NL"/>
        </w:rPr>
      </w:pPr>
      <w:r w:rsidRPr="00E762DD">
        <w:rPr>
          <w:spacing w:val="-4"/>
          <w:highlight w:val="yellow"/>
          <w:lang w:val="nl-NL"/>
        </w:rPr>
        <w:t>h) Căn cứ Điều 7 của Nghị định số 106/2024/NĐ-CP ngày 01 tháng 08 năm 2024 của Chính phủ quy định chính sách hỗ trợ nâng cao hiệu quả chăn nuôi:</w:t>
      </w:r>
    </w:p>
    <w:p w14:paraId="71493CDC" w14:textId="77777777" w:rsidR="005918B3" w:rsidRPr="00E762DD" w:rsidRDefault="005918B3" w:rsidP="005918B3">
      <w:pPr>
        <w:spacing w:before="120" w:line="264" w:lineRule="auto"/>
        <w:ind w:firstLine="720"/>
        <w:contextualSpacing/>
        <w:jc w:val="both"/>
        <w:rPr>
          <w:i/>
          <w:iCs/>
          <w:highlight w:val="yellow"/>
          <w:lang w:val="nl-NL"/>
        </w:rPr>
      </w:pPr>
      <w:r w:rsidRPr="00E762DD">
        <w:rPr>
          <w:highlight w:val="yellow"/>
          <w:lang w:val="nl-NL"/>
        </w:rPr>
        <w:t>“</w:t>
      </w:r>
      <w:r w:rsidRPr="00E762DD">
        <w:rPr>
          <w:b/>
          <w:i/>
          <w:iCs/>
          <w:highlight w:val="yellow"/>
          <w:lang w:val="nl-NL"/>
        </w:rPr>
        <w:t>Điều 7. Chính sách hỗ trợ di dời cơ sở chăn nuôi ra khỏi khu vực không được phép chăn nuôi</w:t>
      </w:r>
    </w:p>
    <w:p w14:paraId="21B0BA16"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1. Đối tượng được hỗ trợ</w:t>
      </w:r>
    </w:p>
    <w:p w14:paraId="13DFA2B4"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Tổ chức, cá nhân có cơ sở chăn nuôi được xây dựng và hoạt động trước ngày Luật Chăn nuôi có hiệu lực thi hành và đang hoạt động tại khu vực không được phép chăn nuôi được hỗ trợ di dời đến địa điểm mới phù hợp hoặc ngừng hoạt động và chuyển đổi ngành nghề.</w:t>
      </w:r>
    </w:p>
    <w:p w14:paraId="05719C86"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2. Nội dung và mức hỗ trợ</w:t>
      </w:r>
    </w:p>
    <w:p w14:paraId="728E7EF1"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a) Hỗ trợ bố trí quỹ đất để xây dựng cơ sở chăn nuôi cho những đối tượng di dời: căn cứ Nghị quyết của Hội đồng nhân dân cấp tỉnh về chính sách hỗ trợ di dời, quy hoạch tỉnh, vùng đã được cấp có thẩm quyền phê duyệt, Ủy ban nhân dân cấp tỉnh, cấp huyện bố trí quỹ đất để xây dựng cơ sở chăn nuôi cho đối tượng được di dời theo quy định của pháp luật về đất đai.</w:t>
      </w:r>
    </w:p>
    <w:p w14:paraId="5FA8E194"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b) Hỗ trợ không quá 50% chi phí mua sắm thiết bị công trình và thiết bị công nghệ chăn nuôi theo diện tích chuồng trại hiện có của cơ sở chăn nuôi thuộc đối tượng phải di dời; mức hỗ trợ tối đa không quá 10 tỷ đồng/cơ sở.</w:t>
      </w:r>
    </w:p>
    <w:p w14:paraId="6CE2D8AF"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c) Hỗ trợ không quá 50% chi phí di dời vật nuôi đến địa điểm mới phù hợp; mức hỗ trợ tối đa không quá 500 triệu đồng/cơ sở.</w:t>
      </w:r>
    </w:p>
    <w:p w14:paraId="559F9D52"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d) Hỗ trợ 100% chi phí đào tạo, tập huấn để chuyển đổi từ chăn nuôi sang các nghề khác; mức hỗ trợ tối đa không quá 03 tháng lương cơ bản/người.</w:t>
      </w:r>
    </w:p>
    <w:p w14:paraId="6763346B"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3. Điều kiện được hỗ trợ</w:t>
      </w:r>
    </w:p>
    <w:p w14:paraId="63DEE0B5"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a) Cơ sở chăn nuôi được xây dựng và hoạt động trước ngày Luật Chăn nuôi có hiệu lực thi hành và đang hoạt động trong khu vực không được phép chăn nuôi thuộc diện phải di dời theo quy định hiện hành.</w:t>
      </w:r>
    </w:p>
    <w:p w14:paraId="785F78E9"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b) 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p w14:paraId="01AE77D6" w14:textId="77777777" w:rsidR="005918B3" w:rsidRPr="00E762DD" w:rsidRDefault="005918B3" w:rsidP="005918B3">
      <w:pPr>
        <w:spacing w:before="120" w:line="264" w:lineRule="auto"/>
        <w:ind w:firstLine="720"/>
        <w:contextualSpacing/>
        <w:jc w:val="both"/>
        <w:rPr>
          <w:highlight w:val="yellow"/>
          <w:lang w:val="nl-NL"/>
        </w:rPr>
      </w:pPr>
      <w:r w:rsidRPr="00E762DD">
        <w:rPr>
          <w:i/>
          <w:iCs/>
          <w:highlight w:val="yellow"/>
          <w:lang w:val="nl-NL"/>
        </w:rPr>
        <w:t>c) Việc hỗ trợ đối với nội dung hỗ trợ quy định tại điểm b, c và d khoản 2 Điều này được thực hiện sau khi cơ sở chăn nuôi đã hoàn thành việc di dời ra khỏi khu vực không được phép chăn nuôi hoặc ngừng hoạt động, chuyển đổi ngành nghề có xác nhận của Ủy ban nhân dân cấp xã.</w:t>
      </w:r>
      <w:r w:rsidRPr="00E762DD">
        <w:rPr>
          <w:highlight w:val="yellow"/>
          <w:lang w:val="nl-NL"/>
        </w:rPr>
        <w:t>”</w:t>
      </w:r>
    </w:p>
    <w:p w14:paraId="1D380384" w14:textId="77777777" w:rsidR="005918B3" w:rsidRPr="00E762DD" w:rsidRDefault="005918B3" w:rsidP="005918B3">
      <w:pPr>
        <w:spacing w:before="120" w:line="264" w:lineRule="auto"/>
        <w:ind w:firstLine="720"/>
        <w:contextualSpacing/>
        <w:jc w:val="both"/>
        <w:rPr>
          <w:spacing w:val="-4"/>
          <w:highlight w:val="yellow"/>
          <w:lang w:val="nl-NL"/>
        </w:rPr>
      </w:pPr>
      <w:r w:rsidRPr="00E762DD">
        <w:rPr>
          <w:spacing w:val="-4"/>
          <w:highlight w:val="yellow"/>
          <w:lang w:val="nl-NL"/>
        </w:rPr>
        <w:t>i) Căn cứ Điều 11 của Nghị định số 106/2024/NĐ-CP ngày 01 tháng 08 năm 2024 của Chính phủ Quy định chính sách hỗ trợ nâng cao hiệu quả chăn nuôi:</w:t>
      </w:r>
    </w:p>
    <w:p w14:paraId="08EBB055" w14:textId="77777777" w:rsidR="005918B3" w:rsidRPr="00E762DD" w:rsidRDefault="005918B3" w:rsidP="005918B3">
      <w:pPr>
        <w:spacing w:before="120" w:line="264" w:lineRule="auto"/>
        <w:ind w:firstLine="720"/>
        <w:contextualSpacing/>
        <w:jc w:val="both"/>
        <w:rPr>
          <w:i/>
          <w:iCs/>
          <w:highlight w:val="yellow"/>
          <w:lang w:val="nl-NL"/>
        </w:rPr>
      </w:pPr>
      <w:r w:rsidRPr="00E762DD">
        <w:rPr>
          <w:highlight w:val="yellow"/>
          <w:lang w:val="nl-NL"/>
        </w:rPr>
        <w:t>“</w:t>
      </w:r>
      <w:r w:rsidRPr="00E762DD">
        <w:rPr>
          <w:b/>
          <w:i/>
          <w:iCs/>
          <w:highlight w:val="yellow"/>
          <w:lang w:val="nl-NL"/>
        </w:rPr>
        <w:t>Điều 11. Nguồn vốn</w:t>
      </w:r>
    </w:p>
    <w:p w14:paraId="54D85B09"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lastRenderedPageBreak/>
        <w:t>1. Ngân sách nhà nước (bao gồm ngân sách trung ương và ngân sách địa phương) theo phân cấp ngân sách hiện hành.</w:t>
      </w:r>
    </w:p>
    <w:p w14:paraId="0B293DEB"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a) Sử dụng từ nguồn vốn đầu tư công đối với các chính sách quy định tại điểm a, b và c khoản 2 Điều 5; điểm a khoản 2 Điều 6; điểm b khoản 2 Điều 7 và trang trại chăn nuôi quy mô lớn được quy định tại điểm b khoản 2 Điều 10 Nghị định này. Các đối tượng sử dụng nguồn vốn đầu tư công này là đối tượng chính sách khác quy định tại khoản 6 Điều 5 Luật Đầu tư công.</w:t>
      </w:r>
    </w:p>
    <w:p w14:paraId="48390516"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b) Sử dụng từ nguồn kinh phí thường xuyên đối với các chính sách quy định tại Chương II, Chương III Nghị định này, trừ trường hợp các chính sách quy định tại điểm a khoản này.</w:t>
      </w:r>
    </w:p>
    <w:p w14:paraId="4E84F6FB"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2. Các nguồn vốn huy động hợp pháp khác theo quy định của pháp luật.</w:t>
      </w:r>
    </w:p>
    <w:p w14:paraId="5E03DACA" w14:textId="77777777" w:rsidR="005918B3" w:rsidRPr="00E762DD" w:rsidRDefault="005918B3" w:rsidP="005918B3">
      <w:pPr>
        <w:spacing w:before="120" w:line="264" w:lineRule="auto"/>
        <w:ind w:firstLine="720"/>
        <w:contextualSpacing/>
        <w:jc w:val="both"/>
        <w:rPr>
          <w:highlight w:val="yellow"/>
          <w:lang w:val="nl-NL"/>
        </w:rPr>
      </w:pPr>
      <w:r w:rsidRPr="00E762DD">
        <w:rPr>
          <w:i/>
          <w:iCs/>
          <w:highlight w:val="yellow"/>
          <w:lang w:val="nl-NL"/>
        </w:rPr>
        <w:t>3. Việc lập dự toán, chấp hành dự toán và thanh quyết toán kinh phí thực hiện các chính sách tại Nghị định này thực hiện theo quy định tại Luật Ngân sách nhà nước, Luật Đầu tư công và các văn bản hướng dẫn Luật.</w:t>
      </w:r>
      <w:r w:rsidRPr="00E762DD">
        <w:rPr>
          <w:highlight w:val="yellow"/>
          <w:lang w:val="nl-NL"/>
        </w:rPr>
        <w:t>”</w:t>
      </w:r>
    </w:p>
    <w:p w14:paraId="54ED6EE4" w14:textId="77777777" w:rsidR="005918B3" w:rsidRPr="00E762DD" w:rsidRDefault="005918B3" w:rsidP="005918B3">
      <w:pPr>
        <w:spacing w:before="120" w:line="264" w:lineRule="auto"/>
        <w:ind w:firstLine="720"/>
        <w:contextualSpacing/>
        <w:jc w:val="both"/>
        <w:rPr>
          <w:highlight w:val="yellow"/>
          <w:lang w:val="nl-NL"/>
        </w:rPr>
      </w:pPr>
      <w:r w:rsidRPr="00E762DD">
        <w:rPr>
          <w:highlight w:val="yellow"/>
          <w:lang w:val="nl-NL"/>
        </w:rPr>
        <w:t>k) Căn cứ khoản 1 Điều 14 của Nghị định số 106/2024/NĐ-CP ngày 01 tháng 08 năm 2024 của Chính phủ Quy định chính sách hỗ trợ nâng cao hiệu quả chăn nuôi:</w:t>
      </w:r>
    </w:p>
    <w:p w14:paraId="33C4162B" w14:textId="77777777" w:rsidR="005918B3" w:rsidRPr="00E762DD" w:rsidRDefault="005918B3" w:rsidP="005918B3">
      <w:pPr>
        <w:spacing w:before="120" w:line="264" w:lineRule="auto"/>
        <w:ind w:firstLine="720"/>
        <w:contextualSpacing/>
        <w:jc w:val="both"/>
        <w:rPr>
          <w:i/>
          <w:iCs/>
          <w:highlight w:val="yellow"/>
          <w:lang w:val="nl-NL"/>
        </w:rPr>
      </w:pPr>
      <w:r w:rsidRPr="00E762DD">
        <w:rPr>
          <w:highlight w:val="yellow"/>
          <w:lang w:val="nl-NL"/>
        </w:rPr>
        <w:t>“</w:t>
      </w:r>
      <w:r w:rsidRPr="00E762DD">
        <w:rPr>
          <w:b/>
          <w:i/>
          <w:iCs/>
          <w:highlight w:val="yellow"/>
          <w:lang w:val="nl-NL"/>
        </w:rPr>
        <w:t>Điều 14. Trình tự và thủ tục hỗ trợ đối với các chính sách sử dụng vốn sự nghiệp nguồn ngân sách nhà nước</w:t>
      </w:r>
    </w:p>
    <w:p w14:paraId="04933456" w14:textId="77777777" w:rsidR="005918B3" w:rsidRPr="00E762DD" w:rsidRDefault="005918B3" w:rsidP="005918B3">
      <w:pPr>
        <w:spacing w:before="120" w:line="264" w:lineRule="auto"/>
        <w:ind w:firstLine="720"/>
        <w:contextualSpacing/>
        <w:jc w:val="both"/>
        <w:rPr>
          <w:i/>
          <w:iCs/>
          <w:spacing w:val="-4"/>
          <w:highlight w:val="yellow"/>
          <w:lang w:val="nl-NL"/>
        </w:rPr>
      </w:pPr>
      <w:r w:rsidRPr="00E762DD">
        <w:rPr>
          <w:i/>
          <w:iCs/>
          <w:spacing w:val="-4"/>
          <w:highlight w:val="yellow"/>
          <w:lang w:val="nl-NL"/>
        </w:rPr>
        <w:t>1. Trình tự và thủ tục hỗ trợ đối với nội dung quy định tại điểm d, đ và e khoản 2 Điều 5; điểm b, c khoản 2 Điều 6; điểm c khoản 2 Điều 7; điểm a, b khoản 2 Điều 9 và điểm a, b (đối với chăn nuôi nông hộ, chăn nuôi trang trại quy mô nhỏ và vừa) và điểm c khoản 2 Điều 10 Nghị định này thực hiện như sau:</w:t>
      </w:r>
    </w:p>
    <w:p w14:paraId="1E4B6A03"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a) Nộp hồ sơ: Tổ chức, cá nhân gửi 01 bộ hồ sơ tới Sở Nông nghiệp và Phát triển nông thôn nơi cơ sở chăn nuôi đề nghị được hỗ trợ.</w:t>
      </w:r>
    </w:p>
    <w:p w14:paraId="4E2EB35B"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Quy định về nộp hồ sơ như sau:</w:t>
      </w:r>
    </w:p>
    <w:p w14:paraId="70A381B9"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Trường hợp nộp hồ sơ trực tiếp hoặc qua dịch vụ bưu chính: các thành phần hồ sơ phải là bản chính hoặc bản sao chứng thực hoặc bản chụp không chứng thực kèm bản chính để đối chiếu.</w:t>
      </w:r>
    </w:p>
    <w:p w14:paraId="4BB483FA"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Trường hợp nộp hồ sơ qua môi trường điện tử: các thành phần hồ sơ thực hiện theo quy định tại Nghị định số 45/2020/NĐ-CP ngày 08 tháng 4 năm 2020 của Chính phủ về thực hiện thủ tục hành chính trên môi trường điện tử.</w:t>
      </w:r>
    </w:p>
    <w:p w14:paraId="6737EBB4"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b) Thành phần hồ sơ:</w:t>
      </w:r>
    </w:p>
    <w:p w14:paraId="675A4915" w14:textId="77777777" w:rsidR="005918B3" w:rsidRPr="00E762DD" w:rsidRDefault="005918B3" w:rsidP="005918B3">
      <w:pPr>
        <w:spacing w:before="120" w:line="264" w:lineRule="auto"/>
        <w:ind w:firstLine="720"/>
        <w:contextualSpacing/>
        <w:jc w:val="both"/>
        <w:rPr>
          <w:rFonts w:ascii="Times New Roman Italic" w:hAnsi="Times New Roman Italic"/>
          <w:i/>
          <w:iCs/>
          <w:spacing w:val="-6"/>
          <w:highlight w:val="yellow"/>
          <w:lang w:val="nl-NL"/>
        </w:rPr>
      </w:pPr>
      <w:r w:rsidRPr="00E762DD">
        <w:rPr>
          <w:rFonts w:ascii="Times New Roman Italic" w:hAnsi="Times New Roman Italic"/>
          <w:i/>
          <w:iCs/>
          <w:spacing w:val="-6"/>
          <w:highlight w:val="yellow"/>
          <w:lang w:val="nl-NL"/>
        </w:rPr>
        <w:t>Đối với nội dung chính sách quy định tại điểm d, đ và e khoản 2 Điều 5, thành phần hồ sơ gồm: Văn bản đề nghị hỗ trợ kinh phí theo Mẫu số 07 Phụ lục ban hành kèm theo Nghị định này; hoá đơn, chứng từ liên quan đến các khoản mục chi phí.</w:t>
      </w:r>
    </w:p>
    <w:p w14:paraId="0DB28BAA"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 xml:space="preserve">Đối với nội dung chính sách quy định tại điểm b, c khoản 2 Điều 6; điểm c khoản 2 Điều 7; điểm a, b (đối với trang trại chăn nuôi quy mô nhỏ và vừa) khoản 2 Điều 10 thành phần hồ sơ gồm: Văn bản đề nghị hỗ trợ kinh phí theo Mẫu số </w:t>
      </w:r>
      <w:r w:rsidRPr="00E762DD">
        <w:rPr>
          <w:i/>
          <w:iCs/>
          <w:highlight w:val="yellow"/>
          <w:lang w:val="nl-NL"/>
        </w:rPr>
        <w:lastRenderedPageBreak/>
        <w:t>07 Phụ lục ban hành kèm theo Nghị định này; hoá đơn, chứng từ liên quan đến các khoản mục chi phí.</w:t>
      </w:r>
    </w:p>
    <w:p w14:paraId="15A4B4DA"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Đối với nội dung chính sách quy định tại điểm a, b khoản 2 Điều 9 thành phần hồ sơ gồm: Văn bản đề nghị hỗ trợ kinh phí theo Mẫu số 07 Phụ lục ban hành kèm theo Nghị định này; Giấy xác nhận về nguồn gốc hoặc lý lịch vật nuôi; Giấy chứng nhận kiểm dịch động vật (nếu có); Chứng từ, hoá đơn mua bán con giống hoặc hợp đồng, thanh lý hợp đồng mua bán con giống; Biên bản nghiệm thu gà, vịt, ngan giống cấp bố mẹ sau 38 tuần tuổi.</w:t>
      </w:r>
    </w:p>
    <w:p w14:paraId="6ABADC98"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c) Thời gian trả lời và tính đầy đủ của hồ sơ:</w:t>
      </w:r>
    </w:p>
    <w:p w14:paraId="1DADA569"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Trường hợp nộp hồ sơ trực tiếp: tại thời điểm tiếp nhận hồ sơ, cơ quan giải quyết thủ tục hành chính kiểm tra thành phần hồ sơ và tiếp nhận hồ sơ đầy đủ thành phần; trường hợp hồ sơ chưa đầy đủ thành phần thì hướng dẫn tổ chức, cá nhân bổ sung, hoàn thiện hồ sơ.</w:t>
      </w:r>
    </w:p>
    <w:p w14:paraId="29AF8018"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Trường hợp nộp hồ sơ qua dịch vụ bưu chính hoặc qua môi trường điện tử: trong thời hạn 03 ngày làm việc tính từ ngày nhận được hồ sơ, cơ quan giải quyết thủ tục hành chính xem xét tính đầy đủ của hồ sơ; trường hợp hồ sơ chưa đầy đủ theo quy định thì cơ quan giải quyết thủ tục hành chính thông báo cho tổ chức, cá nhân bổ sung, hoàn thiện hồ sơ.</w:t>
      </w:r>
    </w:p>
    <w:p w14:paraId="4CD1CF1E"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d) Trình tự, thủ tục giải quyết thủ tục hành chính:</w:t>
      </w:r>
    </w:p>
    <w:p w14:paraId="280386CB"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Trong thời hạn 20 ngày tính từ ngày nhận được hồ sơ đầy đủ và hợp lệ, Sở Nông nghiệp và Phát triển nông thôn thành lập Hội đồng thẩm định và tổ chức thẩm định hồ sơ.</w:t>
      </w:r>
    </w:p>
    <w:p w14:paraId="2A56EBDF"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Hội đồng thẩm định hồ sơ có từ 07 đến 09 người gồm lãnh đạo Sở Nông nghiệp và Phát triển nông thôn là Chủ tịch Hội đồng, các thành viên là đại diện Sở Kế hoạch và Đầu tư, Sở Tài chính, Sở Tài nguyên và Môi trường, các Sở, ban, ngành và lãnh đạo Ủy ban nhân dân các huyện có liên quan.</w:t>
      </w:r>
    </w:p>
    <w:p w14:paraId="63A3807C" w14:textId="77777777" w:rsidR="005918B3" w:rsidRPr="00E762DD" w:rsidRDefault="005918B3" w:rsidP="005918B3">
      <w:pPr>
        <w:spacing w:before="120" w:line="264" w:lineRule="auto"/>
        <w:ind w:firstLine="720"/>
        <w:contextualSpacing/>
        <w:jc w:val="both"/>
        <w:rPr>
          <w:rFonts w:ascii="Times New Roman Italic" w:hAnsi="Times New Roman Italic"/>
          <w:i/>
          <w:iCs/>
          <w:spacing w:val="-4"/>
          <w:highlight w:val="yellow"/>
          <w:lang w:val="nl-NL"/>
        </w:rPr>
      </w:pPr>
      <w:r w:rsidRPr="00E762DD">
        <w:rPr>
          <w:rFonts w:ascii="Times New Roman Italic" w:hAnsi="Times New Roman Italic"/>
          <w:i/>
          <w:iCs/>
          <w:spacing w:val="-4"/>
          <w:highlight w:val="yellow"/>
          <w:lang w:val="nl-NL"/>
        </w:rPr>
        <w:t>Hội đồng thẩm định về tính xác thực và nội dung của thành phần hồ sơ theo quy định tại khoản 2 Điều này; tổ chức kiểm tra thực tế trong trường hợp cần thiết.</w:t>
      </w:r>
    </w:p>
    <w:p w14:paraId="1284F0E9"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Trường hợp kết quả thẩm định đạt yêu cầu, Sở Nông nghiệp và Phát triển nông thôn tham mưu Ủy ban nhân dân cấp tỉnh ban hành quyết định phê duyệt kinh phí hỗ trợ; trường hợp từ chối phải trả lời bằng văn bản và nêu rõ lý do.</w:t>
      </w:r>
    </w:p>
    <w:p w14:paraId="111AE8A6"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đ) Cách thức trả kết quả thực hiện thủ tục hành chính: thực hiện trả kết quả giải quyết thủ tục hành chính trực tiếp tại nơi nhận hồ sơ hoặc qua dịch vụ bưu chính hoặc qua môi trường điện tử.</w:t>
      </w:r>
    </w:p>
    <w:p w14:paraId="505BDF27"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e) Thanh toán hỗ trợ</w:t>
      </w:r>
    </w:p>
    <w:p w14:paraId="6F8CB381"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Căn cứ quyết định phê duyệt kinh phí hỗ trợ, đối tượng được hỗ trợ nộp văn bản đề nghị thanh toán kinh phí hỗ trợ tại Sở Tài chính nơi cơ sở chăn nuôi đề nghị hỗ trợ hoặc gửi qua dịch vụ bưu chính hoặc qua môi trường điện tử để được giải ngân khoản kinh phí hỗ trợ. Văn bản đề nghị thanh toán kinh phí hỗ trợ theo Mẫu số 06 Phụ lục ban hành kèm theo Nghị định này.</w:t>
      </w:r>
    </w:p>
    <w:p w14:paraId="03CF61FD" w14:textId="77777777" w:rsidR="005918B3" w:rsidRPr="00E762DD" w:rsidRDefault="005918B3" w:rsidP="005918B3">
      <w:pPr>
        <w:spacing w:before="120" w:line="264" w:lineRule="auto"/>
        <w:ind w:firstLine="720"/>
        <w:contextualSpacing/>
        <w:jc w:val="both"/>
        <w:rPr>
          <w:highlight w:val="yellow"/>
          <w:lang w:val="nl-NL"/>
        </w:rPr>
      </w:pPr>
      <w:r w:rsidRPr="00E762DD">
        <w:rPr>
          <w:i/>
          <w:iCs/>
          <w:highlight w:val="yellow"/>
          <w:lang w:val="nl-NL"/>
        </w:rPr>
        <w:lastRenderedPageBreak/>
        <w:t>Sở Tài chính thực hiện thủ tục đăng ký sử dụng tài khoản theo quy định về thủ tục hành chính trong lĩnh vực Kho bạc Nhà nước để thực hiện thanh toán kinh phí hỗ trợ cho đối tượng được hỗ trợ.</w:t>
      </w:r>
    </w:p>
    <w:p w14:paraId="45EEDFC8" w14:textId="77777777" w:rsidR="005918B3" w:rsidRPr="00E762DD" w:rsidRDefault="005918B3" w:rsidP="005918B3">
      <w:pPr>
        <w:spacing w:before="120" w:line="264" w:lineRule="auto"/>
        <w:ind w:firstLine="720"/>
        <w:contextualSpacing/>
        <w:jc w:val="both"/>
        <w:rPr>
          <w:i/>
          <w:iCs/>
          <w:spacing w:val="-4"/>
          <w:highlight w:val="yellow"/>
          <w:lang w:val="nl-NL"/>
        </w:rPr>
      </w:pPr>
      <w:r w:rsidRPr="00E762DD">
        <w:rPr>
          <w:i/>
          <w:iCs/>
          <w:spacing w:val="-4"/>
          <w:highlight w:val="yellow"/>
          <w:lang w:val="nl-NL"/>
        </w:rPr>
        <w:t>Trên cơ sở đề nghị thanh toán kinh phí hỗ trợ của đối tượng được hỗ trợ, Sở Tài chính chủ trì, phối hợp với đối tượng được hỗ trợ rà soát và lập Hồ sơ giải ngân gửi tới Kho bạc Nhà nước cấp tỉnh trong thời hạn 15 ngày tính từ ngày nhận được văn bản đề nghị thanh toán kinh phí hỗ trợ của đối tượng được hỗ trợ;</w:t>
      </w:r>
    </w:p>
    <w:p w14:paraId="780BD052"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Hồ sơ giải ngân gồm: Quyết định hỗ trợ đầu tư của Chủ tịch Ủy ban nhân dân cấp tỉnh; Văn bản đề nghị thanh toán kinh phí hỗ trợ; Chứng từ chuyển tiền theo quy định.</w:t>
      </w:r>
    </w:p>
    <w:p w14:paraId="7843E3BB" w14:textId="77777777" w:rsidR="005918B3" w:rsidRPr="00E762DD" w:rsidRDefault="005918B3" w:rsidP="005918B3">
      <w:pPr>
        <w:spacing w:before="120" w:line="264" w:lineRule="auto"/>
        <w:ind w:firstLine="720"/>
        <w:contextualSpacing/>
        <w:jc w:val="both"/>
        <w:rPr>
          <w:i/>
          <w:iCs/>
          <w:highlight w:val="yellow"/>
          <w:lang w:val="nl-NL"/>
        </w:rPr>
      </w:pPr>
      <w:r w:rsidRPr="00E762DD">
        <w:rPr>
          <w:i/>
          <w:iCs/>
          <w:highlight w:val="yellow"/>
          <w:lang w:val="nl-NL"/>
        </w:rPr>
        <w:t>Kho bạc Nhà nước cấp tỉnh chịu trách nhiệm giải ngân khoản hỗ trợ cho đối tượng được hỗ trợ trong thời hạn 03 ngày làm việc tính từ ngày nhận được hồ sơ đầy đủ và hợp lệ.</w:t>
      </w:r>
    </w:p>
    <w:p w14:paraId="5F846635" w14:textId="77777777" w:rsidR="005918B3" w:rsidRPr="00C301BD" w:rsidRDefault="005918B3" w:rsidP="005918B3">
      <w:pPr>
        <w:spacing w:before="120" w:line="264" w:lineRule="auto"/>
        <w:ind w:firstLine="720"/>
        <w:contextualSpacing/>
        <w:jc w:val="both"/>
        <w:rPr>
          <w:spacing w:val="-4"/>
          <w:lang w:val="nl-NL"/>
        </w:rPr>
      </w:pPr>
      <w:r w:rsidRPr="00E762DD">
        <w:rPr>
          <w:i/>
          <w:iCs/>
          <w:spacing w:val="-4"/>
          <w:highlight w:val="yellow"/>
          <w:lang w:val="nl-NL"/>
        </w:rPr>
        <w:t>g) Tổ chức, cá nhân chịu trách nhiệm về tính hợp pháp của hồ sơ đã nộp</w:t>
      </w:r>
      <w:r w:rsidRPr="00E762DD">
        <w:rPr>
          <w:spacing w:val="-4"/>
          <w:highlight w:val="yellow"/>
          <w:lang w:val="nl-NL"/>
        </w:rPr>
        <w:t>”.</w:t>
      </w:r>
    </w:p>
    <w:p w14:paraId="7551E108" w14:textId="77777777" w:rsidR="005918B3" w:rsidRPr="00C301BD" w:rsidRDefault="005918B3" w:rsidP="005918B3">
      <w:pPr>
        <w:spacing w:before="120" w:line="264" w:lineRule="auto"/>
        <w:ind w:firstLine="720"/>
        <w:contextualSpacing/>
        <w:jc w:val="both"/>
        <w:rPr>
          <w:lang w:val="nl-NL"/>
        </w:rPr>
      </w:pPr>
      <w:r w:rsidRPr="00C301BD">
        <w:rPr>
          <w:lang w:val="nl-NL"/>
        </w:rPr>
        <w:t>l) Căn cứ khoản 2 Điều 11 Nghị quyết số 190/2025/QH15 ngày 19 tháng 2  năm 2025 của Quốc hội quy định về xử lý một số vấn đề liên quan đến sắp xếp tổ chức bộ máy nhà nước quy định:</w:t>
      </w:r>
    </w:p>
    <w:p w14:paraId="6132F1AE"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bCs/>
          <w:i/>
          <w:iCs/>
          <w:lang w:val="nl-NL"/>
        </w:rPr>
        <w:t>Điều 11. Rà soát, xử lý văn bản</w:t>
      </w:r>
    </w:p>
    <w:p w14:paraId="7A6E9120"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w:t>
      </w:r>
    </w:p>
    <w:p w14:paraId="7EC26E8F" w14:textId="77777777" w:rsidR="005918B3" w:rsidRPr="00C301BD" w:rsidRDefault="005918B3" w:rsidP="005918B3">
      <w:pPr>
        <w:spacing w:before="120" w:line="264" w:lineRule="auto"/>
        <w:ind w:firstLine="720"/>
        <w:contextualSpacing/>
        <w:jc w:val="both"/>
        <w:rPr>
          <w:lang w:val="nl-NL"/>
        </w:rPr>
      </w:pPr>
      <w:r w:rsidRPr="00C301BD">
        <w:rPr>
          <w:i/>
          <w:iCs/>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C301BD">
        <w:rPr>
          <w:lang w:val="nl-NL"/>
        </w:rPr>
        <w:t>”</w:t>
      </w:r>
    </w:p>
    <w:p w14:paraId="0418608F" w14:textId="77777777" w:rsidR="005918B3" w:rsidRPr="00C301BD" w:rsidRDefault="005918B3" w:rsidP="005918B3">
      <w:pPr>
        <w:spacing w:before="120" w:line="264" w:lineRule="auto"/>
        <w:ind w:firstLine="720"/>
        <w:contextualSpacing/>
        <w:jc w:val="both"/>
        <w:rPr>
          <w:lang w:val="nl-NL"/>
        </w:rPr>
      </w:pPr>
      <w:r w:rsidRPr="00C301BD">
        <w:rPr>
          <w:lang w:val="nl-NL"/>
        </w:rPr>
        <w:t>m) Căn cứ khoản 23 Điều 1 Nghị quyết số 202/2025/QH15 ngày 12 tháng 6 năm 2025 của Quốc hội về việc sắp xếp đơn vị hành chính cấp tỉnh quy định:</w:t>
      </w:r>
    </w:p>
    <w:p w14:paraId="363D0420" w14:textId="77777777" w:rsidR="005918B3" w:rsidRPr="00C301BD" w:rsidRDefault="005918B3" w:rsidP="005918B3">
      <w:pPr>
        <w:spacing w:before="120" w:line="264" w:lineRule="auto"/>
        <w:ind w:firstLine="720"/>
        <w:contextualSpacing/>
        <w:jc w:val="both"/>
        <w:rPr>
          <w:i/>
          <w:iCs/>
          <w:lang w:val="nl-NL"/>
        </w:rPr>
      </w:pPr>
      <w:r w:rsidRPr="00C301BD">
        <w:rPr>
          <w:lang w:val="nl-NL"/>
        </w:rPr>
        <w:t>“</w:t>
      </w:r>
      <w:r w:rsidRPr="00C301BD">
        <w:rPr>
          <w:b/>
          <w:bCs/>
          <w:i/>
          <w:iCs/>
          <w:lang w:val="nl-NL"/>
        </w:rPr>
        <w:t>Điều 1. Sắp xếp các đơn vị hành chính cấp tỉnh</w:t>
      </w:r>
    </w:p>
    <w:p w14:paraId="5DD3FF9D"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w:t>
      </w:r>
    </w:p>
    <w:p w14:paraId="29020885" w14:textId="77777777" w:rsidR="005918B3" w:rsidRPr="00C301BD" w:rsidRDefault="005918B3" w:rsidP="005918B3">
      <w:pPr>
        <w:spacing w:before="120" w:line="264" w:lineRule="auto"/>
        <w:ind w:firstLine="720"/>
        <w:contextualSpacing/>
        <w:jc w:val="both"/>
        <w:rPr>
          <w:i/>
          <w:iCs/>
          <w:lang w:val="nl-NL"/>
        </w:rPr>
      </w:pPr>
      <w:r w:rsidRPr="00C301BD">
        <w:rPr>
          <w:i/>
          <w:iCs/>
          <w:lang w:val="nl-NL"/>
        </w:rPr>
        <w:t>23. Sắp xếp toàn bộ diện tích tự nhiên, quy mô dân số của tỉnh Kiên Giang và tỉnh An Giang thành tỉnh mới có tên gọi là tỉnh An Giang. Sau khi sắp xếp, tỉnh An Giang có diện tích tự nhiên là 9.888,91 km², quy mô dân số là 4.952.238 người.</w:t>
      </w:r>
    </w:p>
    <w:p w14:paraId="4E0DB207" w14:textId="77777777" w:rsidR="005918B3" w:rsidRPr="00C301BD" w:rsidRDefault="005918B3" w:rsidP="005918B3">
      <w:pPr>
        <w:spacing w:before="120" w:line="264" w:lineRule="auto"/>
        <w:ind w:firstLine="720"/>
        <w:contextualSpacing/>
        <w:jc w:val="both"/>
        <w:rPr>
          <w:lang w:val="nl-NL"/>
        </w:rPr>
      </w:pPr>
      <w:r w:rsidRPr="00C301BD">
        <w:rPr>
          <w:i/>
          <w:iCs/>
          <w:lang w:val="nl-NL"/>
        </w:rPr>
        <w:t>Tỉnh An Giang giáp tỉnh Cà Mau, tỉnh Đồng Tháp, thành phố Cần Thơ, Vương quốc Cam-pu-chia và Biển Đông.</w:t>
      </w:r>
      <w:r w:rsidRPr="00C301BD">
        <w:rPr>
          <w:lang w:val="nl-NL"/>
        </w:rPr>
        <w:t>”</w:t>
      </w:r>
    </w:p>
    <w:p w14:paraId="070DEA0C" w14:textId="4A00E66A" w:rsidR="004A4FA7" w:rsidRPr="005918B3" w:rsidRDefault="004A4FA7" w:rsidP="002D1180">
      <w:pPr>
        <w:spacing w:before="120"/>
        <w:ind w:firstLine="709"/>
        <w:jc w:val="both"/>
        <w:rPr>
          <w:b/>
          <w:lang w:val="nl-NL"/>
        </w:rPr>
      </w:pPr>
      <w:r w:rsidRPr="005918B3">
        <w:rPr>
          <w:b/>
          <w:lang w:val="nl-NL"/>
        </w:rPr>
        <w:t>2. Cơ sở thực tiễn</w:t>
      </w:r>
    </w:p>
    <w:p w14:paraId="7848AF4B" w14:textId="77777777" w:rsidR="005918B3" w:rsidRPr="00C301BD" w:rsidRDefault="005918B3" w:rsidP="005918B3">
      <w:pPr>
        <w:spacing w:before="120" w:line="264" w:lineRule="auto"/>
        <w:ind w:firstLine="720"/>
        <w:contextualSpacing/>
        <w:jc w:val="both"/>
        <w:rPr>
          <w:lang w:val="nl-NL"/>
        </w:rPr>
      </w:pPr>
      <w:bookmarkStart w:id="1" w:name="_Hlk210052503"/>
      <w:r w:rsidRPr="00C301BD">
        <w:rPr>
          <w:lang w:val="nl-NL"/>
        </w:rPr>
        <w:t xml:space="preserve">a) Ngày 05 tháng 8 năm 2022, Hội đồng nhân dân tỉnh Kiên Giang đã ban hành Nghị quyết số 22/2022/NQ-HĐND quy định khu vực không được phép chăn nuôi, chính sách hỗ trợ di dời cơ sở chăn nuôi ra khỏi khu vực không được phép chăn nuôi và vùng nuôi chim yến trên địa bàn tỉnh Kiên Giang, trong đó nội dung quy định khu vực không được phép chăn nuôi (Điều 2), chính sách hỗ trợ di dời </w:t>
      </w:r>
      <w:r w:rsidRPr="00C301BD">
        <w:rPr>
          <w:lang w:val="nl-NL"/>
        </w:rPr>
        <w:lastRenderedPageBreak/>
        <w:t>cơ sở chăn nuôi ra khỏi khu vực không được phép chăn nuôi (Điều 3) và vùng nuôi chim yến quy định vùng nuôi chim yến (Điều 4).</w:t>
      </w:r>
    </w:p>
    <w:p w14:paraId="1779B7CD" w14:textId="77777777" w:rsidR="005918B3" w:rsidRPr="00C301BD" w:rsidRDefault="005918B3" w:rsidP="005918B3">
      <w:pPr>
        <w:spacing w:before="120" w:line="264" w:lineRule="auto"/>
        <w:ind w:firstLine="720"/>
        <w:contextualSpacing/>
        <w:jc w:val="both"/>
        <w:rPr>
          <w:lang w:val="nl-NL"/>
        </w:rPr>
      </w:pPr>
      <w:r w:rsidRPr="00C301BD">
        <w:rPr>
          <w:lang w:val="nl-NL"/>
        </w:rPr>
        <w:t>b) Ngày 27 tháng 12 năm 2024, Hội đồng nhân dân tỉnh An Giang (cũ) đã ban hành Nghị quyết số 28/2024/NQ-HĐND quy định vùng nuôi chim yến trên địa bàn tỉnh An Giang, trong đó chỉ quy định vùng nuôi chim yến tại. Riêng đối với tỉnh An Giang (cũ) đến nay chưa ban hành Nghị quyết quy định khu vực không được phép chăn nuôi và chính sách hỗ trợ khi di dời cơ sở chăn nuôi ra khỏi khu vực không được phép chăn nuôi trên địa bàn tỉnh An Giang.</w:t>
      </w:r>
    </w:p>
    <w:p w14:paraId="338CE826" w14:textId="77777777" w:rsidR="005918B3" w:rsidRPr="00C301BD" w:rsidRDefault="005918B3" w:rsidP="005918B3">
      <w:pPr>
        <w:spacing w:before="120" w:line="264" w:lineRule="auto"/>
        <w:ind w:firstLine="720"/>
        <w:contextualSpacing/>
        <w:jc w:val="both"/>
        <w:rPr>
          <w:lang w:val="nl-NL"/>
        </w:rPr>
      </w:pPr>
      <w:r w:rsidRPr="00C301BD">
        <w:rPr>
          <w:lang w:val="nl-NL"/>
        </w:rPr>
        <w:t>c) Bên cạnh đó, theo số liệu quản lý của Chi cục Chăn nuôi và Thú y, tổng số nhà yến trên địa bàn tỉnh An Giang là 4.475 nhà yến (</w:t>
      </w:r>
      <w:r w:rsidRPr="00C301BD">
        <w:rPr>
          <w:i/>
          <w:iCs/>
          <w:lang w:val="nl-NL"/>
        </w:rPr>
        <w:t>An Giang cũ là 1.399 nhà yến và Kiên Giang là 3.076 nhà yến</w:t>
      </w:r>
      <w:r w:rsidRPr="00C301BD">
        <w:rPr>
          <w:lang w:val="nl-NL"/>
        </w:rPr>
        <w:t>); qua nghiên cứu trên cơ sở 2 nội dung quy định khu vực không được phép chăn nuôi, chính sách hỗ trợ di dời cơ sở chăn nuôi ra khỏi khu vực không được phép chăn nuôi và vùng nuôi chim yến trên địa bàn tỉnh Kiên Giang (</w:t>
      </w:r>
      <w:r w:rsidRPr="00C301BD">
        <w:rPr>
          <w:i/>
          <w:iCs/>
          <w:lang w:val="nl-NL"/>
        </w:rPr>
        <w:t>tại Nghị quyết số 22/2022/NQ-HĐND ngày 05 tháng 08 năm 2022</w:t>
      </w:r>
      <w:r w:rsidRPr="00C301BD">
        <w:rPr>
          <w:lang w:val="nl-NL"/>
        </w:rPr>
        <w:t>) và quy định vùng nuôi chim yến trên địa bàn tỉnh An Giang (cũ) (</w:t>
      </w:r>
      <w:r w:rsidRPr="00C301BD">
        <w:rPr>
          <w:i/>
          <w:iCs/>
          <w:lang w:val="nl-NL"/>
        </w:rPr>
        <w:t>tại Nghị quyết Nghị quyết số 28/2024/NQ-HĐND ngày 27 tháng 12 năm 2024</w:t>
      </w:r>
      <w:r w:rsidRPr="00C301BD">
        <w:rPr>
          <w:lang w:val="nl-NL"/>
        </w:rPr>
        <w:t>), Sở Nông nghiệp và Môi trường nhận thấy có sự khác biệt trong cách quy định vùng nuôi chim yến của hai tỉnh An Giang (cũ) và tỉnh Kiên Giang; đồng thời và các xã, phường của tỉnh An Giang (cũ) hiện nay chưa có quy định khu vực không được phép chăn nuôi, chính sách hỗ trợ di dời cơ sở chăn nuôi ra khỏi khu vực không được phép chăn nuôi (</w:t>
      </w:r>
      <w:r w:rsidRPr="00C301BD">
        <w:rPr>
          <w:i/>
          <w:iCs/>
          <w:lang w:val="nl-NL"/>
        </w:rPr>
        <w:t>trong khi đó các xã, phường và đặc khu của tỉnh Kiên Giang đã có quy định khu vực không được phép chăn nuôi, chính sách hỗ trợ di dời cơ sở chăn nuôi ra khỏi khu vực không được phép chăn nuôi</w:t>
      </w:r>
      <w:r w:rsidRPr="00C301BD">
        <w:rPr>
          <w:lang w:val="nl-NL"/>
        </w:rPr>
        <w:t>) vì thế điều này sẽ dẫn đến những bất cập trong công tác quản lý hoạt động chăn nuôi trên địa bàn tỉnh An Giang (mới), vì thế nhằm đảm bảo đồng bộ trong công tác quản lý nhà nước đối với hoạt động chăn nuôi trên địa bàn tỉnh An Giang được ổn định, thống nhất, hiệu lực và hiệu quả thì việc đề xuất ban hành Nghị quyết của Hội đồng nhân dân tỉnh quy định quy định khu vực không được phép chăn nuôi, chính sách hỗ trợ khi di dời cơ sở chăn nuôi ra khỏi khu vực không được phép chăn nuôi và vùng nuôi chim yến trên địa bàn tỉnh An Giang là có cơ sở pháp lý.</w:t>
      </w:r>
    </w:p>
    <w:p w14:paraId="6ED6B944" w14:textId="61A77A13" w:rsidR="00C0659E" w:rsidRPr="005918B3" w:rsidRDefault="00C0659E" w:rsidP="002D1180">
      <w:pPr>
        <w:spacing w:before="120"/>
        <w:ind w:firstLine="709"/>
        <w:jc w:val="both"/>
        <w:rPr>
          <w:bCs/>
          <w:lang w:val="nl-NL"/>
        </w:rPr>
      </w:pPr>
      <w:r w:rsidRPr="005918B3">
        <w:rPr>
          <w:bCs/>
          <w:lang w:val="nl-NL"/>
        </w:rPr>
        <w:t xml:space="preserve">Từ cơ sở pháp lý và thực tiễn nêu trên, việc </w:t>
      </w:r>
      <w:r w:rsidR="005918B3">
        <w:rPr>
          <w:bCs/>
          <w:lang w:val="nl-NL"/>
        </w:rPr>
        <w:t>Hội đồng nhân dân tỉnh</w:t>
      </w:r>
      <w:r w:rsidRPr="005918B3">
        <w:rPr>
          <w:bCs/>
          <w:lang w:val="nl-NL"/>
        </w:rPr>
        <w:t xml:space="preserve"> ban hành Nghị quyết quy định khu vực không được phép chăn nuôi, vùng nuôi chim yến và chính sách hỗ trợ khi di dời cơ sở chăn nuôi ra khỏi khu vực không được phép chăn nuôi trên địa bàn tỉnh An Giang là cần thiết và đúng thẩm quyền.</w:t>
      </w:r>
    </w:p>
    <w:bookmarkEnd w:id="1"/>
    <w:p w14:paraId="3C7B6D83" w14:textId="77777777" w:rsidR="00B16948" w:rsidRPr="005918B3" w:rsidRDefault="00B16948" w:rsidP="002D1180">
      <w:pPr>
        <w:widowControl w:val="0"/>
        <w:tabs>
          <w:tab w:val="left" w:pos="0"/>
        </w:tabs>
        <w:spacing w:before="120"/>
        <w:ind w:firstLine="720"/>
        <w:jc w:val="both"/>
        <w:rPr>
          <w:b/>
          <w:bCs/>
          <w:noProof w:val="0"/>
          <w:lang w:val="nl-NL"/>
        </w:rPr>
      </w:pPr>
      <w:r w:rsidRPr="005918B3">
        <w:rPr>
          <w:b/>
          <w:bCs/>
          <w:noProof w:val="0"/>
          <w:lang w:val="nl-NL"/>
        </w:rPr>
        <w:t xml:space="preserve">II. MỤC ĐÍCH, QUAN ĐIỂM XÂY DỰNG VĂN BẢN </w:t>
      </w:r>
    </w:p>
    <w:p w14:paraId="66250B5C" w14:textId="77777777" w:rsidR="00B16948" w:rsidRPr="005918B3" w:rsidRDefault="00B16948" w:rsidP="002D1180">
      <w:pPr>
        <w:widowControl w:val="0"/>
        <w:tabs>
          <w:tab w:val="left" w:pos="0"/>
        </w:tabs>
        <w:spacing w:before="120"/>
        <w:ind w:firstLine="720"/>
        <w:jc w:val="both"/>
        <w:rPr>
          <w:b/>
          <w:bCs/>
          <w:noProof w:val="0"/>
          <w:lang w:val="nl-NL"/>
        </w:rPr>
      </w:pPr>
      <w:r w:rsidRPr="005918B3">
        <w:rPr>
          <w:b/>
          <w:bCs/>
          <w:noProof w:val="0"/>
          <w:lang w:val="nl-NL"/>
        </w:rPr>
        <w:t xml:space="preserve">1. Mục đích </w:t>
      </w:r>
    </w:p>
    <w:p w14:paraId="3631C148" w14:textId="0405C86A" w:rsidR="00B16948" w:rsidRPr="005918B3" w:rsidRDefault="00B16948" w:rsidP="002D1180">
      <w:pPr>
        <w:widowControl w:val="0"/>
        <w:tabs>
          <w:tab w:val="left" w:pos="0"/>
        </w:tabs>
        <w:spacing w:before="120"/>
        <w:ind w:firstLine="720"/>
        <w:jc w:val="both"/>
        <w:rPr>
          <w:noProof w:val="0"/>
          <w:lang w:val="nl-NL"/>
        </w:rPr>
      </w:pPr>
      <w:r w:rsidRPr="005918B3">
        <w:rPr>
          <w:noProof w:val="0"/>
          <w:lang w:val="nl-NL"/>
        </w:rPr>
        <w:t xml:space="preserve">Làm cơ sở </w:t>
      </w:r>
      <w:r w:rsidR="00E3581C" w:rsidRPr="005918B3">
        <w:rPr>
          <w:noProof w:val="0"/>
          <w:lang w:val="nl-NL"/>
        </w:rPr>
        <w:t xml:space="preserve">triển khai công tác quản lý hoạt động chăn nuôi trên địa bàn tỉnh </w:t>
      </w:r>
      <w:r w:rsidRPr="005918B3">
        <w:rPr>
          <w:noProof w:val="0"/>
          <w:lang w:val="nl-NL"/>
        </w:rPr>
        <w:t>theo quy định tại</w:t>
      </w:r>
      <w:r w:rsidR="00E3581C" w:rsidRPr="005918B3">
        <w:rPr>
          <w:noProof w:val="0"/>
          <w:lang w:val="nl-NL"/>
        </w:rPr>
        <w:t xml:space="preserve"> điểm h Điều 80 Luật Chăn nuôi số 32/2018/QH14 được sửa đổi, bổ sung tại điểm a khoản 17 Điều 3 Luật số 146/2025/QH15</w:t>
      </w:r>
      <w:r w:rsidRPr="005918B3">
        <w:rPr>
          <w:noProof w:val="0"/>
          <w:lang w:val="nl-NL"/>
        </w:rPr>
        <w:t xml:space="preserve">. </w:t>
      </w:r>
    </w:p>
    <w:p w14:paraId="2DD0C079" w14:textId="77777777" w:rsidR="00B16948" w:rsidRPr="005918B3" w:rsidRDefault="00B16948" w:rsidP="002D1180">
      <w:pPr>
        <w:widowControl w:val="0"/>
        <w:tabs>
          <w:tab w:val="left" w:pos="0"/>
        </w:tabs>
        <w:spacing w:before="120"/>
        <w:ind w:firstLine="720"/>
        <w:jc w:val="both"/>
        <w:rPr>
          <w:b/>
          <w:bCs/>
          <w:noProof w:val="0"/>
          <w:lang w:val="nl-NL"/>
        </w:rPr>
      </w:pPr>
      <w:r w:rsidRPr="005918B3">
        <w:rPr>
          <w:b/>
          <w:bCs/>
          <w:noProof w:val="0"/>
          <w:lang w:val="nl-NL"/>
        </w:rPr>
        <w:lastRenderedPageBreak/>
        <w:t xml:space="preserve">2. Quan điểm xây dựng văn bản </w:t>
      </w:r>
    </w:p>
    <w:p w14:paraId="3C74A937" w14:textId="415D9863" w:rsidR="00B16948" w:rsidRPr="005918B3" w:rsidRDefault="00B16948" w:rsidP="002D1180">
      <w:pPr>
        <w:widowControl w:val="0"/>
        <w:tabs>
          <w:tab w:val="left" w:pos="0"/>
        </w:tabs>
        <w:spacing w:before="120"/>
        <w:ind w:firstLine="720"/>
        <w:jc w:val="both"/>
        <w:rPr>
          <w:noProof w:val="0"/>
          <w:lang w:val="nl-NL"/>
        </w:rPr>
      </w:pPr>
      <w:r w:rsidRPr="005918B3">
        <w:rPr>
          <w:noProof w:val="0"/>
          <w:lang w:val="nl-NL"/>
        </w:rPr>
        <w:t xml:space="preserve">Đảm bảo các nguyên tắc xây dựng, ban hành văn bản quy phạm pháp luật theo quy định. </w:t>
      </w:r>
    </w:p>
    <w:p w14:paraId="628C72DA" w14:textId="63B1FDF7" w:rsidR="00B16948" w:rsidRPr="005918B3" w:rsidRDefault="00B16948" w:rsidP="002D1180">
      <w:pPr>
        <w:widowControl w:val="0"/>
        <w:tabs>
          <w:tab w:val="left" w:pos="0"/>
        </w:tabs>
        <w:spacing w:before="120"/>
        <w:ind w:firstLine="720"/>
        <w:jc w:val="both"/>
        <w:rPr>
          <w:noProof w:val="0"/>
          <w:lang w:val="nl-NL"/>
        </w:rPr>
      </w:pPr>
      <w:r w:rsidRPr="005918B3">
        <w:rPr>
          <w:noProof w:val="0"/>
          <w:lang w:val="nl-NL"/>
        </w:rPr>
        <w:t xml:space="preserve">Nghị quyết ban hành đảm bảo đúng quy định của Chính phủ, kịp thời, phù hợp với điều kiện, tình hình thực tiễn của tỉnh (khả năng cân đối ngân sách, các nguồn tài chính hợp pháp khác, đặc điểm sản xuất và thực tế tại tỉnh). </w:t>
      </w:r>
    </w:p>
    <w:p w14:paraId="411F0729" w14:textId="77777777" w:rsidR="00B16948" w:rsidRPr="005918B3" w:rsidRDefault="00B16948" w:rsidP="002D1180">
      <w:pPr>
        <w:widowControl w:val="0"/>
        <w:tabs>
          <w:tab w:val="left" w:pos="0"/>
        </w:tabs>
        <w:spacing w:before="120"/>
        <w:ind w:firstLine="720"/>
        <w:jc w:val="both"/>
        <w:rPr>
          <w:b/>
          <w:bCs/>
          <w:noProof w:val="0"/>
          <w:lang w:val="nl-NL"/>
        </w:rPr>
      </w:pPr>
      <w:r w:rsidRPr="005918B3">
        <w:rPr>
          <w:b/>
          <w:bCs/>
          <w:noProof w:val="0"/>
          <w:lang w:val="nl-NL"/>
        </w:rPr>
        <w:t xml:space="preserve">III. QUÁ TRÌNH XÂY DỰNG NGHỊ QUYẾT </w:t>
      </w:r>
    </w:p>
    <w:p w14:paraId="5E62944C" w14:textId="77777777" w:rsidR="004A4FA7" w:rsidRPr="005918B3" w:rsidRDefault="004A4FA7" w:rsidP="002D1180">
      <w:pPr>
        <w:pStyle w:val="NormalWeb"/>
        <w:shd w:val="clear" w:color="auto" w:fill="FFFFFF"/>
        <w:spacing w:before="120" w:beforeAutospacing="0" w:after="0" w:afterAutospacing="0"/>
        <w:ind w:firstLine="709"/>
        <w:jc w:val="both"/>
        <w:rPr>
          <w:sz w:val="28"/>
          <w:szCs w:val="28"/>
          <w:lang w:val="nl-NL"/>
        </w:rPr>
      </w:pPr>
      <w:r w:rsidRPr="005918B3">
        <w:rPr>
          <w:sz w:val="28"/>
          <w:szCs w:val="28"/>
          <w:lang w:val="nl-NL"/>
        </w:rPr>
        <w:t xml:space="preserve">Quá trình xây dựng dự thảo theo trình tự, thủ tục rút gọn, quy định tại khoản 4 Điều 51 </w:t>
      </w:r>
      <w:r w:rsidRPr="00986E6C">
        <w:rPr>
          <w:iCs/>
          <w:sz w:val="28"/>
          <w:szCs w:val="28"/>
          <w:lang w:val="vi-VN"/>
        </w:rPr>
        <w:t xml:space="preserve">Luật Ban hành văn bản quy phạm pháp luật số </w:t>
      </w:r>
      <w:r w:rsidRPr="00986E6C">
        <w:rPr>
          <w:sz w:val="28"/>
          <w:szCs w:val="28"/>
          <w:lang w:val="nl-NL"/>
        </w:rPr>
        <w:t>64/2025/QH15 được sửa đổi, bổ sung bởi Luật số 87/2025/QH15</w:t>
      </w:r>
      <w:r w:rsidRPr="005918B3">
        <w:rPr>
          <w:iCs/>
          <w:sz w:val="28"/>
          <w:szCs w:val="28"/>
          <w:lang w:val="nl-NL"/>
        </w:rPr>
        <w:t>,</w:t>
      </w:r>
      <w:r w:rsidRPr="005918B3">
        <w:rPr>
          <w:sz w:val="28"/>
          <w:szCs w:val="28"/>
          <w:lang w:val="nl-NL"/>
        </w:rPr>
        <w:t xml:space="preserve"> được thực hiện như sau:</w:t>
      </w:r>
    </w:p>
    <w:p w14:paraId="4B6AFC76" w14:textId="27C073DE" w:rsidR="00C0659E" w:rsidRPr="005918B3" w:rsidRDefault="00770A83" w:rsidP="002D1180">
      <w:pPr>
        <w:spacing w:before="120"/>
        <w:ind w:firstLine="709"/>
        <w:jc w:val="both"/>
        <w:rPr>
          <w:lang w:val="nl-NL"/>
        </w:rPr>
      </w:pPr>
      <w:r w:rsidRPr="005918B3">
        <w:rPr>
          <w:lang w:val="nl-NL"/>
        </w:rPr>
        <w:t xml:space="preserve">1. </w:t>
      </w:r>
    </w:p>
    <w:p w14:paraId="4A8257BD" w14:textId="63A6828E" w:rsidR="00C0659E" w:rsidRPr="005918B3" w:rsidRDefault="00C0659E" w:rsidP="002D1180">
      <w:pPr>
        <w:widowControl w:val="0"/>
        <w:tabs>
          <w:tab w:val="left" w:pos="0"/>
        </w:tabs>
        <w:spacing w:before="120"/>
        <w:ind w:firstLine="720"/>
        <w:jc w:val="both"/>
        <w:rPr>
          <w:lang w:val="nl-NL"/>
        </w:rPr>
      </w:pPr>
      <w:r w:rsidRPr="005918B3">
        <w:rPr>
          <w:lang w:val="nl-NL"/>
        </w:rPr>
        <w:t xml:space="preserve">2. </w:t>
      </w:r>
    </w:p>
    <w:p w14:paraId="5228BBFC" w14:textId="703208A3" w:rsidR="00B16948" w:rsidRPr="00C0659E" w:rsidRDefault="00B16948" w:rsidP="002D1180">
      <w:pPr>
        <w:widowControl w:val="0"/>
        <w:tabs>
          <w:tab w:val="left" w:pos="0"/>
        </w:tabs>
        <w:spacing w:before="120"/>
        <w:ind w:firstLine="720"/>
        <w:jc w:val="both"/>
        <w:rPr>
          <w:b/>
          <w:bCs/>
          <w:noProof w:val="0"/>
          <w:lang w:val="vi-VN"/>
        </w:rPr>
      </w:pPr>
      <w:r w:rsidRPr="00C0659E">
        <w:rPr>
          <w:b/>
          <w:bCs/>
          <w:noProof w:val="0"/>
          <w:lang w:val="vi-VN"/>
        </w:rPr>
        <w:t>IV. BỐ CỤC VÀ NỘI DUNG CƠ BẢN CỦA DỰ THẢO NGHỊ QUYẾT</w:t>
      </w:r>
    </w:p>
    <w:p w14:paraId="7FC09526" w14:textId="77777777" w:rsidR="00B16948" w:rsidRPr="00C0659E" w:rsidRDefault="00B16948" w:rsidP="002D1180">
      <w:pPr>
        <w:widowControl w:val="0"/>
        <w:tabs>
          <w:tab w:val="left" w:pos="0"/>
        </w:tabs>
        <w:spacing w:before="120"/>
        <w:ind w:firstLine="720"/>
        <w:jc w:val="both"/>
        <w:rPr>
          <w:b/>
          <w:bCs/>
          <w:noProof w:val="0"/>
          <w:lang w:val="vi-VN"/>
        </w:rPr>
      </w:pPr>
      <w:r w:rsidRPr="00C0659E">
        <w:rPr>
          <w:b/>
          <w:bCs/>
          <w:noProof w:val="0"/>
          <w:lang w:val="vi-VN"/>
        </w:rPr>
        <w:t>1. Phạm vi điều chỉnh, đối tượng áp dụng</w:t>
      </w:r>
    </w:p>
    <w:p w14:paraId="1A26D482" w14:textId="77777777" w:rsidR="00323F84" w:rsidRPr="00C0659E" w:rsidRDefault="00B16948" w:rsidP="002D1180">
      <w:pPr>
        <w:widowControl w:val="0"/>
        <w:tabs>
          <w:tab w:val="left" w:pos="0"/>
        </w:tabs>
        <w:spacing w:before="120"/>
        <w:ind w:firstLine="720"/>
        <w:jc w:val="both"/>
        <w:rPr>
          <w:b/>
          <w:bCs/>
          <w:noProof w:val="0"/>
          <w:lang w:val="vi-VN"/>
        </w:rPr>
      </w:pPr>
      <w:r w:rsidRPr="00C0659E">
        <w:rPr>
          <w:b/>
          <w:bCs/>
          <w:noProof w:val="0"/>
          <w:lang w:val="vi-VN"/>
        </w:rPr>
        <w:t xml:space="preserve">1.1. Phạm vi điều chỉnh </w:t>
      </w:r>
    </w:p>
    <w:p w14:paraId="5EB342E3" w14:textId="36134811" w:rsidR="00323F84" w:rsidRPr="00C0659E" w:rsidRDefault="00B16948" w:rsidP="002D1180">
      <w:pPr>
        <w:widowControl w:val="0"/>
        <w:tabs>
          <w:tab w:val="left" w:pos="0"/>
        </w:tabs>
        <w:spacing w:before="120"/>
        <w:ind w:firstLine="720"/>
        <w:jc w:val="both"/>
        <w:rPr>
          <w:noProof w:val="0"/>
          <w:lang w:val="vi-VN"/>
        </w:rPr>
      </w:pPr>
      <w:r w:rsidRPr="00C0659E">
        <w:rPr>
          <w:noProof w:val="0"/>
          <w:lang w:val="vi-VN"/>
        </w:rPr>
        <w:t xml:space="preserve">Nghị quyết này quy định </w:t>
      </w:r>
      <w:r w:rsidR="00C0659E" w:rsidRPr="00C0659E">
        <w:rPr>
          <w:noProof w:val="0"/>
          <w:lang w:val="vi-VN"/>
        </w:rPr>
        <w:t>khu vực không được phép chăn nuôi gia súc, gia cầm và động vật khác (ngoại trừ chim yến) trong chăn nuôi, chính sách hỗ trợ di dời cơ sở chăn nuôi ra khỏi khu vực không được phép chăn nuôi và vùng nuôi chim yến trên địa bàn tỉnh An Giang.</w:t>
      </w:r>
      <w:r w:rsidRPr="00C0659E">
        <w:rPr>
          <w:noProof w:val="0"/>
          <w:lang w:val="vi-VN"/>
        </w:rPr>
        <w:t xml:space="preserve">. </w:t>
      </w:r>
    </w:p>
    <w:p w14:paraId="60AB9895" w14:textId="77777777" w:rsidR="00323F84" w:rsidRPr="00C0659E" w:rsidRDefault="00B16948" w:rsidP="002D1180">
      <w:pPr>
        <w:widowControl w:val="0"/>
        <w:tabs>
          <w:tab w:val="left" w:pos="0"/>
        </w:tabs>
        <w:spacing w:before="120"/>
        <w:ind w:firstLine="720"/>
        <w:jc w:val="both"/>
        <w:rPr>
          <w:b/>
          <w:bCs/>
          <w:noProof w:val="0"/>
          <w:lang w:val="vi-VN"/>
        </w:rPr>
      </w:pPr>
      <w:r w:rsidRPr="00C0659E">
        <w:rPr>
          <w:b/>
          <w:bCs/>
          <w:noProof w:val="0"/>
          <w:lang w:val="vi-VN"/>
        </w:rPr>
        <w:t xml:space="preserve">1.2. Đối tượng áp dụng </w:t>
      </w:r>
    </w:p>
    <w:p w14:paraId="320984EA" w14:textId="015F7EBF" w:rsidR="00323F84" w:rsidRPr="00C0659E" w:rsidRDefault="00B16948" w:rsidP="002D1180">
      <w:pPr>
        <w:widowControl w:val="0"/>
        <w:tabs>
          <w:tab w:val="left" w:pos="0"/>
        </w:tabs>
        <w:spacing w:before="120"/>
        <w:ind w:firstLine="720"/>
        <w:jc w:val="both"/>
        <w:rPr>
          <w:noProof w:val="0"/>
          <w:lang w:val="vi-VN"/>
        </w:rPr>
      </w:pPr>
      <w:r w:rsidRPr="00C0659E">
        <w:rPr>
          <w:noProof w:val="0"/>
          <w:lang w:val="vi-VN"/>
        </w:rPr>
        <w:t xml:space="preserve"> </w:t>
      </w:r>
      <w:r w:rsidR="00C0659E" w:rsidRPr="00C0659E">
        <w:rPr>
          <w:noProof w:val="0"/>
          <w:lang w:val="vi-VN"/>
        </w:rPr>
        <w:t>Nghị quyết này áp dụng đối với tổ chức và cá nhân có liên quan đến hoạt động chăn nuôi (trừ nuôi động vật làm cảnh, nuôi động vật trong phòng thí nghiệm mà không gây ô nhiễm môi trường).</w:t>
      </w:r>
    </w:p>
    <w:p w14:paraId="258B5D30" w14:textId="77777777" w:rsidR="00323F84" w:rsidRPr="00C0659E" w:rsidRDefault="00B16948" w:rsidP="002D1180">
      <w:pPr>
        <w:widowControl w:val="0"/>
        <w:tabs>
          <w:tab w:val="left" w:pos="0"/>
        </w:tabs>
        <w:spacing w:before="120"/>
        <w:ind w:firstLine="720"/>
        <w:jc w:val="both"/>
        <w:rPr>
          <w:b/>
          <w:bCs/>
          <w:noProof w:val="0"/>
          <w:lang w:val="vi-VN"/>
        </w:rPr>
      </w:pPr>
      <w:r w:rsidRPr="00C0659E">
        <w:rPr>
          <w:b/>
          <w:bCs/>
          <w:noProof w:val="0"/>
          <w:lang w:val="vi-VN"/>
        </w:rPr>
        <w:t xml:space="preserve">2. Bố cục của dự thảo Nghị quyết </w:t>
      </w:r>
    </w:p>
    <w:p w14:paraId="6E82C98F" w14:textId="38BF5BD4" w:rsidR="004A4FA7" w:rsidRDefault="004A4FA7" w:rsidP="002D1180">
      <w:pPr>
        <w:pStyle w:val="ListParagraph"/>
        <w:adjustRightInd w:val="0"/>
        <w:snapToGrid w:val="0"/>
        <w:spacing w:before="120"/>
        <w:ind w:left="0" w:firstLine="720"/>
        <w:contextualSpacing w:val="0"/>
        <w:jc w:val="both"/>
        <w:rPr>
          <w:snapToGrid w:val="0"/>
          <w:lang w:val="id-ID"/>
        </w:rPr>
      </w:pPr>
      <w:r>
        <w:rPr>
          <w:snapToGrid w:val="0"/>
          <w:lang w:val="pt-BR"/>
        </w:rPr>
        <w:t xml:space="preserve">Dự thảo Nghị quyết </w:t>
      </w:r>
      <w:r w:rsidR="00DA59A8" w:rsidRPr="00DA59A8">
        <w:rPr>
          <w:rStyle w:val="apple-converted-space"/>
          <w:spacing w:val="-4"/>
          <w:lang w:val="vi-VN"/>
        </w:rPr>
        <w:t>quy định khu vực không được phép chăn nuôi, vùng nuôi chim yến và chính sách hỗ trợ khi di dời cơ sở chăn nuôi ra khỏi khu vực không được phép chăn nuôi trên địa bàn tỉnh An Giang</w:t>
      </w:r>
      <w:r>
        <w:rPr>
          <w:snapToGrid w:val="0"/>
          <w:lang w:val="pt-BR"/>
        </w:rPr>
        <w:t xml:space="preserve"> với nội dung như sau:</w:t>
      </w:r>
    </w:p>
    <w:p w14:paraId="2A7B6BF6" w14:textId="0E1DCB03" w:rsidR="004A4FA7" w:rsidRDefault="00774332" w:rsidP="002D1180">
      <w:pPr>
        <w:pStyle w:val="ListParagraph"/>
        <w:adjustRightInd w:val="0"/>
        <w:snapToGrid w:val="0"/>
        <w:spacing w:before="120"/>
        <w:ind w:left="0" w:firstLine="720"/>
        <w:contextualSpacing w:val="0"/>
        <w:jc w:val="both"/>
        <w:rPr>
          <w:b/>
          <w:snapToGrid w:val="0"/>
          <w:lang w:val="id-ID"/>
        </w:rPr>
      </w:pPr>
      <w:r>
        <w:rPr>
          <w:b/>
          <w:snapToGrid w:val="0"/>
          <w:lang w:val="id-ID"/>
        </w:rPr>
        <w:t>2.</w:t>
      </w:r>
      <w:r w:rsidR="004A4FA7">
        <w:rPr>
          <w:b/>
          <w:snapToGrid w:val="0"/>
          <w:lang w:val="id-ID"/>
        </w:rPr>
        <w:t>1. Bố cục của dự thảo Nghị quyết</w:t>
      </w:r>
    </w:p>
    <w:p w14:paraId="5BE97D54" w14:textId="6AB8E569" w:rsidR="004A4FA7" w:rsidRDefault="004A4FA7" w:rsidP="002D1180">
      <w:pPr>
        <w:pStyle w:val="BodyText"/>
        <w:adjustRightInd w:val="0"/>
        <w:snapToGrid w:val="0"/>
        <w:spacing w:before="120" w:after="0"/>
        <w:ind w:firstLine="720"/>
        <w:jc w:val="both"/>
        <w:rPr>
          <w:snapToGrid w:val="0"/>
          <w:lang w:val="id-ID"/>
        </w:rPr>
      </w:pPr>
      <w:r>
        <w:rPr>
          <w:snapToGrid w:val="0"/>
          <w:lang w:val="id-ID"/>
        </w:rPr>
        <w:t xml:space="preserve">Dự thảo Nghị quyết gồm có </w:t>
      </w:r>
      <w:r w:rsidR="005918B3">
        <w:rPr>
          <w:snapToGrid w:val="0"/>
          <w:lang w:val="id-ID"/>
        </w:rPr>
        <w:t>7</w:t>
      </w:r>
      <w:r w:rsidR="00DD735A">
        <w:rPr>
          <w:snapToGrid w:val="0"/>
          <w:lang w:val="id-ID"/>
        </w:rPr>
        <w:t xml:space="preserve"> </w:t>
      </w:r>
      <w:r>
        <w:rPr>
          <w:snapToGrid w:val="0"/>
          <w:lang w:val="id-ID"/>
        </w:rPr>
        <w:t>điều:</w:t>
      </w:r>
    </w:p>
    <w:p w14:paraId="2779EBDD" w14:textId="64083509" w:rsidR="004A4FA7" w:rsidRDefault="004A4FA7" w:rsidP="002D1180">
      <w:pPr>
        <w:shd w:val="clear" w:color="auto" w:fill="FFFFFF"/>
        <w:adjustRightInd w:val="0"/>
        <w:snapToGrid w:val="0"/>
        <w:spacing w:before="120"/>
        <w:ind w:firstLine="720"/>
        <w:jc w:val="both"/>
        <w:rPr>
          <w:bCs/>
          <w:snapToGrid w:val="0"/>
          <w:lang w:val="id-ID"/>
        </w:rPr>
      </w:pPr>
      <w:r>
        <w:rPr>
          <w:rFonts w:eastAsia="SimSun"/>
          <w:bCs/>
          <w:snapToGrid w:val="0"/>
          <w:lang w:val="id-ID"/>
        </w:rPr>
        <w:t xml:space="preserve">Điều 1. </w:t>
      </w:r>
      <w:r w:rsidR="00DD735A" w:rsidRPr="00DD735A">
        <w:rPr>
          <w:bCs/>
          <w:lang w:val="sv-SE"/>
        </w:rPr>
        <w:t>Phạm vi điều chỉnh và đối tượng áp dụng</w:t>
      </w:r>
    </w:p>
    <w:p w14:paraId="0B5A49CA" w14:textId="0B5E539C" w:rsidR="004A4FA7" w:rsidRDefault="004A4FA7" w:rsidP="002D1180">
      <w:pPr>
        <w:shd w:val="clear" w:color="auto" w:fill="FFFFFF"/>
        <w:adjustRightInd w:val="0"/>
        <w:snapToGrid w:val="0"/>
        <w:spacing w:before="120"/>
        <w:ind w:firstLine="720"/>
        <w:jc w:val="both"/>
        <w:rPr>
          <w:bCs/>
          <w:snapToGrid w:val="0"/>
          <w:lang w:val="id-ID"/>
        </w:rPr>
      </w:pPr>
      <w:r>
        <w:rPr>
          <w:rFonts w:eastAsia="SimSun"/>
          <w:snapToGrid w:val="0"/>
          <w:lang w:val="id-ID"/>
        </w:rPr>
        <w:t>Điều 2.</w:t>
      </w:r>
      <w:r>
        <w:rPr>
          <w:rFonts w:eastAsia="SimSun"/>
          <w:bCs/>
          <w:snapToGrid w:val="0"/>
          <w:lang w:val="id-ID"/>
        </w:rPr>
        <w:t xml:space="preserve"> </w:t>
      </w:r>
      <w:r w:rsidR="00DD735A" w:rsidRPr="00DD735A">
        <w:rPr>
          <w:rFonts w:eastAsia="SimSun"/>
          <w:bCs/>
          <w:snapToGrid w:val="0"/>
          <w:lang w:val="id-ID"/>
        </w:rPr>
        <w:t>Quy định khu vực không được phép chăn nuô</w:t>
      </w:r>
      <w:r w:rsidR="00DD735A">
        <w:rPr>
          <w:rFonts w:eastAsia="SimSun"/>
          <w:bCs/>
          <w:snapToGrid w:val="0"/>
          <w:lang w:val="id-ID"/>
        </w:rPr>
        <w:t>i.</w:t>
      </w:r>
    </w:p>
    <w:p w14:paraId="205C0054" w14:textId="0C095DB2" w:rsidR="003B0DF0" w:rsidRDefault="003B0DF0" w:rsidP="003B0DF0">
      <w:pPr>
        <w:shd w:val="clear" w:color="auto" w:fill="FFFFFF"/>
        <w:adjustRightInd w:val="0"/>
        <w:snapToGrid w:val="0"/>
        <w:spacing w:before="120"/>
        <w:ind w:firstLine="720"/>
        <w:jc w:val="both"/>
        <w:rPr>
          <w:bCs/>
          <w:snapToGrid w:val="0"/>
          <w:lang w:val="id-ID"/>
        </w:rPr>
      </w:pPr>
      <w:r>
        <w:rPr>
          <w:rFonts w:eastAsia="SimSun"/>
          <w:snapToGrid w:val="0"/>
          <w:lang w:val="id-ID"/>
        </w:rPr>
        <w:t xml:space="preserve">Điều </w:t>
      </w:r>
      <w:r>
        <w:rPr>
          <w:rFonts w:eastAsia="SimSun"/>
          <w:snapToGrid w:val="0"/>
          <w:lang w:val="id-ID"/>
        </w:rPr>
        <w:t>3</w:t>
      </w:r>
      <w:r>
        <w:rPr>
          <w:rFonts w:eastAsia="SimSun"/>
          <w:snapToGrid w:val="0"/>
          <w:lang w:val="id-ID"/>
        </w:rPr>
        <w:t xml:space="preserve">. </w:t>
      </w:r>
      <w:r w:rsidRPr="00DD735A">
        <w:rPr>
          <w:bCs/>
          <w:lang w:val="sv-SE"/>
        </w:rPr>
        <w:t>Quy định vùng nuôi chim yến</w:t>
      </w:r>
      <w:r>
        <w:rPr>
          <w:bCs/>
          <w:lang w:val="sv-SE"/>
        </w:rPr>
        <w:t>.</w:t>
      </w:r>
    </w:p>
    <w:p w14:paraId="21CD8F52" w14:textId="0F080E3F" w:rsidR="004A4FA7" w:rsidRDefault="004A4FA7" w:rsidP="002D1180">
      <w:pPr>
        <w:shd w:val="clear" w:color="auto" w:fill="FFFFFF"/>
        <w:adjustRightInd w:val="0"/>
        <w:snapToGrid w:val="0"/>
        <w:spacing w:before="120"/>
        <w:ind w:firstLine="720"/>
        <w:jc w:val="both"/>
        <w:rPr>
          <w:bCs/>
          <w:snapToGrid w:val="0"/>
          <w:lang w:val="id-ID"/>
        </w:rPr>
      </w:pPr>
      <w:r>
        <w:rPr>
          <w:rFonts w:eastAsia="SimSun"/>
          <w:snapToGrid w:val="0"/>
          <w:lang w:val="id-ID"/>
        </w:rPr>
        <w:t xml:space="preserve">Điều </w:t>
      </w:r>
      <w:r w:rsidR="003B0DF0">
        <w:rPr>
          <w:rFonts w:eastAsia="SimSun"/>
          <w:snapToGrid w:val="0"/>
          <w:lang w:val="id-ID"/>
        </w:rPr>
        <w:t>4</w:t>
      </w:r>
      <w:r>
        <w:rPr>
          <w:rFonts w:eastAsia="SimSun"/>
          <w:snapToGrid w:val="0"/>
          <w:lang w:val="id-ID"/>
        </w:rPr>
        <w:t xml:space="preserve">. </w:t>
      </w:r>
      <w:r w:rsidR="00DD735A" w:rsidRPr="00DD735A">
        <w:rPr>
          <w:rFonts w:eastAsia="SimSun"/>
          <w:snapToGrid w:val="0"/>
          <w:lang w:val="id-ID"/>
        </w:rPr>
        <w:t>Quy định chính sách hỗ trợ di dời cơ sở chăn nuôi ra khỏi khu vực không được phép chăn nuôi</w:t>
      </w:r>
      <w:r w:rsidR="00DD735A">
        <w:rPr>
          <w:rFonts w:eastAsia="SimSun"/>
          <w:snapToGrid w:val="0"/>
          <w:lang w:val="id-ID"/>
        </w:rPr>
        <w:t>.</w:t>
      </w:r>
    </w:p>
    <w:p w14:paraId="27522B22" w14:textId="3BADF462" w:rsidR="004A4FA7" w:rsidRDefault="004A4FA7" w:rsidP="002D1180">
      <w:pPr>
        <w:adjustRightInd w:val="0"/>
        <w:snapToGrid w:val="0"/>
        <w:spacing w:before="120"/>
        <w:ind w:firstLine="720"/>
        <w:jc w:val="both"/>
        <w:rPr>
          <w:bCs/>
          <w:snapToGrid w:val="0"/>
          <w:lang w:val="id-ID"/>
        </w:rPr>
      </w:pPr>
      <w:r>
        <w:rPr>
          <w:rFonts w:eastAsia="SimSun"/>
          <w:bCs/>
          <w:snapToGrid w:val="0"/>
          <w:color w:val="000000"/>
          <w:lang w:val="id-ID"/>
        </w:rPr>
        <w:t xml:space="preserve">Điều 5. </w:t>
      </w:r>
      <w:r w:rsidR="00DD735A" w:rsidRPr="00DD735A">
        <w:rPr>
          <w:rFonts w:eastAsia="SimSun"/>
          <w:bCs/>
          <w:snapToGrid w:val="0"/>
          <w:color w:val="000000"/>
          <w:lang w:val="id-ID"/>
        </w:rPr>
        <w:t>Quy định chuyển tiếp</w:t>
      </w:r>
      <w:r w:rsidR="00DD735A">
        <w:rPr>
          <w:rFonts w:eastAsia="SimSun"/>
          <w:bCs/>
          <w:snapToGrid w:val="0"/>
          <w:color w:val="000000"/>
          <w:lang w:val="id-ID"/>
        </w:rPr>
        <w:t>.</w:t>
      </w:r>
    </w:p>
    <w:p w14:paraId="164D9025" w14:textId="1D14AB63" w:rsidR="004A4FA7" w:rsidRDefault="004A4FA7" w:rsidP="002D1180">
      <w:pPr>
        <w:adjustRightInd w:val="0"/>
        <w:snapToGrid w:val="0"/>
        <w:spacing w:before="120"/>
        <w:ind w:firstLine="720"/>
        <w:jc w:val="both"/>
        <w:rPr>
          <w:rFonts w:eastAsia="SimSun"/>
          <w:snapToGrid w:val="0"/>
          <w:lang w:val="id-ID"/>
        </w:rPr>
      </w:pPr>
      <w:r>
        <w:rPr>
          <w:rFonts w:eastAsia="SimSun"/>
          <w:snapToGrid w:val="0"/>
          <w:lang w:val="id-ID"/>
        </w:rPr>
        <w:lastRenderedPageBreak/>
        <w:t xml:space="preserve">Điều 6. </w:t>
      </w:r>
      <w:r w:rsidR="00DD735A" w:rsidRPr="00DD735A">
        <w:rPr>
          <w:rFonts w:eastAsia="SimSun"/>
          <w:snapToGrid w:val="0"/>
          <w:lang w:val="id-ID"/>
        </w:rPr>
        <w:t>Hiệu lực thi hành</w:t>
      </w:r>
      <w:r w:rsidR="00DD735A">
        <w:rPr>
          <w:rFonts w:eastAsia="SimSun"/>
          <w:snapToGrid w:val="0"/>
          <w:lang w:val="id-ID"/>
        </w:rPr>
        <w:t>.</w:t>
      </w:r>
    </w:p>
    <w:p w14:paraId="39BC6864" w14:textId="48B69FE8" w:rsidR="00DD735A" w:rsidRDefault="00DD735A" w:rsidP="002D1180">
      <w:pPr>
        <w:adjustRightInd w:val="0"/>
        <w:snapToGrid w:val="0"/>
        <w:spacing w:before="120"/>
        <w:ind w:firstLine="720"/>
        <w:jc w:val="both"/>
        <w:rPr>
          <w:snapToGrid w:val="0"/>
          <w:lang w:val="id-ID"/>
        </w:rPr>
      </w:pPr>
      <w:r>
        <w:rPr>
          <w:rFonts w:eastAsia="SimSun"/>
          <w:snapToGrid w:val="0"/>
          <w:lang w:val="id-ID"/>
        </w:rPr>
        <w:t xml:space="preserve">Điều 7. </w:t>
      </w:r>
      <w:r w:rsidRPr="00DD735A">
        <w:rPr>
          <w:rFonts w:eastAsia="SimSun"/>
          <w:snapToGrid w:val="0"/>
          <w:lang w:val="id-ID"/>
        </w:rPr>
        <w:t>Tổ chức thực hiện</w:t>
      </w:r>
      <w:r>
        <w:rPr>
          <w:rFonts w:eastAsia="SimSun"/>
          <w:snapToGrid w:val="0"/>
          <w:lang w:val="id-ID"/>
        </w:rPr>
        <w:t>.</w:t>
      </w:r>
    </w:p>
    <w:p w14:paraId="389F9849" w14:textId="6A18F122" w:rsidR="004A4FA7" w:rsidRDefault="00774332" w:rsidP="002D1180">
      <w:pPr>
        <w:pStyle w:val="ListParagraph"/>
        <w:adjustRightInd w:val="0"/>
        <w:snapToGrid w:val="0"/>
        <w:spacing w:before="120"/>
        <w:ind w:left="0" w:firstLine="720"/>
        <w:contextualSpacing w:val="0"/>
        <w:jc w:val="both"/>
        <w:rPr>
          <w:b/>
          <w:snapToGrid w:val="0"/>
          <w:lang w:val="id-ID"/>
        </w:rPr>
      </w:pPr>
      <w:r>
        <w:rPr>
          <w:b/>
          <w:snapToGrid w:val="0"/>
          <w:lang w:val="id-ID"/>
        </w:rPr>
        <w:t>2.</w:t>
      </w:r>
      <w:r w:rsidR="004A4FA7">
        <w:rPr>
          <w:b/>
          <w:snapToGrid w:val="0"/>
          <w:lang w:val="id-ID"/>
        </w:rPr>
        <w:t>2. Nội dung cơ bản</w:t>
      </w:r>
    </w:p>
    <w:p w14:paraId="5DA1EEE0" w14:textId="36D92505" w:rsidR="004A4FA7" w:rsidRDefault="004A4FA7" w:rsidP="002D1180">
      <w:pPr>
        <w:pStyle w:val="NormalWeb"/>
        <w:shd w:val="clear" w:color="auto" w:fill="FFFFFF"/>
        <w:adjustRightInd w:val="0"/>
        <w:snapToGrid w:val="0"/>
        <w:spacing w:before="120" w:beforeAutospacing="0" w:after="0" w:afterAutospacing="0"/>
        <w:ind w:firstLine="720"/>
        <w:jc w:val="both"/>
        <w:rPr>
          <w:rFonts w:eastAsia="SimSun"/>
          <w:snapToGrid w:val="0"/>
          <w:sz w:val="28"/>
          <w:szCs w:val="28"/>
          <w:lang w:val="id-ID"/>
        </w:rPr>
      </w:pPr>
      <w:r>
        <w:rPr>
          <w:rFonts w:eastAsia="SimSun"/>
          <w:snapToGrid w:val="0"/>
          <w:sz w:val="28"/>
          <w:szCs w:val="28"/>
          <w:lang w:val="id-ID"/>
        </w:rPr>
        <w:t>a)</w:t>
      </w:r>
      <w:r w:rsidR="00C0659E">
        <w:rPr>
          <w:rFonts w:eastAsia="SimSun"/>
          <w:snapToGrid w:val="0"/>
          <w:sz w:val="28"/>
          <w:szCs w:val="28"/>
          <w:lang w:val="id-ID"/>
        </w:rPr>
        <w:t xml:space="preserve"> </w:t>
      </w:r>
      <w:r w:rsidR="00C0659E" w:rsidRPr="00C0659E">
        <w:rPr>
          <w:rFonts w:eastAsia="SimSun"/>
          <w:snapToGrid w:val="0"/>
          <w:sz w:val="28"/>
          <w:szCs w:val="28"/>
          <w:lang w:val="id-ID"/>
        </w:rPr>
        <w:t>Quy định khu vực không được phép chăn nuôi</w:t>
      </w:r>
      <w:r>
        <w:rPr>
          <w:rFonts w:eastAsia="SimSun"/>
          <w:snapToGrid w:val="0"/>
          <w:sz w:val="28"/>
          <w:szCs w:val="28"/>
          <w:lang w:val="pt-BR"/>
        </w:rPr>
        <w:t>.</w:t>
      </w:r>
    </w:p>
    <w:p w14:paraId="69CD1667" w14:textId="3FC98164" w:rsidR="00E762DD" w:rsidRDefault="00E762DD" w:rsidP="002D1180">
      <w:pPr>
        <w:pStyle w:val="NormalWeb"/>
        <w:shd w:val="clear" w:color="auto" w:fill="FFFFFF"/>
        <w:adjustRightInd w:val="0"/>
        <w:snapToGrid w:val="0"/>
        <w:spacing w:before="120" w:beforeAutospacing="0" w:after="0" w:afterAutospacing="0"/>
        <w:ind w:firstLine="720"/>
        <w:jc w:val="both"/>
        <w:rPr>
          <w:rFonts w:eastAsia="SimSun"/>
          <w:snapToGrid w:val="0"/>
          <w:sz w:val="28"/>
          <w:szCs w:val="28"/>
          <w:lang w:val="id-ID"/>
        </w:rPr>
      </w:pPr>
      <w:r>
        <w:rPr>
          <w:rFonts w:eastAsia="SimSun"/>
          <w:snapToGrid w:val="0"/>
          <w:color w:val="000000"/>
          <w:sz w:val="28"/>
          <w:szCs w:val="28"/>
          <w:lang w:val="id-ID"/>
        </w:rPr>
        <w:t xml:space="preserve">b) </w:t>
      </w:r>
      <w:r w:rsidRPr="00C0659E">
        <w:rPr>
          <w:rFonts w:eastAsia="SimSun"/>
          <w:snapToGrid w:val="0"/>
          <w:color w:val="000000"/>
          <w:sz w:val="28"/>
          <w:szCs w:val="28"/>
          <w:lang w:val="id-ID"/>
        </w:rPr>
        <w:t>Quy định vùng nuôi chim yến</w:t>
      </w:r>
      <w:r>
        <w:rPr>
          <w:rFonts w:eastAsia="SimSun"/>
          <w:snapToGrid w:val="0"/>
          <w:color w:val="000000"/>
          <w:sz w:val="28"/>
          <w:szCs w:val="28"/>
          <w:lang w:val="id-ID"/>
        </w:rPr>
        <w:t>.</w:t>
      </w:r>
    </w:p>
    <w:p w14:paraId="2855F6B8" w14:textId="2FF6D851" w:rsidR="004A4FA7" w:rsidRDefault="00E762DD" w:rsidP="002D1180">
      <w:pPr>
        <w:pStyle w:val="NormalWeb"/>
        <w:shd w:val="clear" w:color="auto" w:fill="FFFFFF"/>
        <w:adjustRightInd w:val="0"/>
        <w:snapToGrid w:val="0"/>
        <w:spacing w:before="120" w:beforeAutospacing="0" w:after="0" w:afterAutospacing="0"/>
        <w:ind w:firstLine="720"/>
        <w:jc w:val="both"/>
        <w:rPr>
          <w:rFonts w:eastAsia="SimSun"/>
          <w:snapToGrid w:val="0"/>
          <w:sz w:val="28"/>
          <w:szCs w:val="28"/>
          <w:lang w:val="id-ID"/>
        </w:rPr>
      </w:pPr>
      <w:r>
        <w:rPr>
          <w:rFonts w:eastAsia="SimSun"/>
          <w:snapToGrid w:val="0"/>
          <w:sz w:val="28"/>
          <w:szCs w:val="28"/>
          <w:lang w:val="id-ID"/>
        </w:rPr>
        <w:t>c</w:t>
      </w:r>
      <w:r w:rsidR="004A4FA7">
        <w:rPr>
          <w:rFonts w:eastAsia="SimSun"/>
          <w:snapToGrid w:val="0"/>
          <w:sz w:val="28"/>
          <w:szCs w:val="28"/>
          <w:lang w:val="id-ID"/>
        </w:rPr>
        <w:t>)</w:t>
      </w:r>
      <w:r w:rsidR="00C0659E">
        <w:rPr>
          <w:rFonts w:eastAsia="SimSun"/>
          <w:snapToGrid w:val="0"/>
          <w:sz w:val="28"/>
          <w:szCs w:val="28"/>
          <w:lang w:val="id-ID"/>
        </w:rPr>
        <w:t xml:space="preserve"> </w:t>
      </w:r>
      <w:r w:rsidR="00C0659E" w:rsidRPr="00C0659E">
        <w:rPr>
          <w:rFonts w:eastAsia="SimSun"/>
          <w:snapToGrid w:val="0"/>
          <w:sz w:val="28"/>
          <w:szCs w:val="28"/>
          <w:lang w:val="id-ID"/>
        </w:rPr>
        <w:t>Quy định chính sách hỗ trợ di dời cơ sở chăn nuôi ra khỏi khu vực không được phép chăn nuôi</w:t>
      </w:r>
      <w:r w:rsidR="004A4FA7">
        <w:rPr>
          <w:rFonts w:eastAsia="SimSun"/>
          <w:snapToGrid w:val="0"/>
          <w:sz w:val="28"/>
          <w:szCs w:val="28"/>
          <w:lang w:val="pt-BR"/>
        </w:rPr>
        <w:t>.</w:t>
      </w:r>
    </w:p>
    <w:p w14:paraId="2481B2AE" w14:textId="77777777" w:rsidR="00323F84" w:rsidRPr="00C0659E" w:rsidRDefault="00B16948" w:rsidP="002D1180">
      <w:pPr>
        <w:widowControl w:val="0"/>
        <w:tabs>
          <w:tab w:val="left" w:pos="0"/>
        </w:tabs>
        <w:spacing w:before="120"/>
        <w:ind w:firstLine="720"/>
        <w:jc w:val="both"/>
        <w:rPr>
          <w:b/>
          <w:bCs/>
          <w:noProof w:val="0"/>
          <w:lang w:val="id-ID"/>
        </w:rPr>
      </w:pPr>
      <w:r w:rsidRPr="00C0659E">
        <w:rPr>
          <w:b/>
          <w:bCs/>
          <w:noProof w:val="0"/>
          <w:lang w:val="id-ID"/>
        </w:rPr>
        <w:t xml:space="preserve">V. DỰ KIẾN NGUỒN LỰC ĐỂ THỰC HIỆN NGHỊ QUYẾT VÀ THỜI GIAN TRÌNH THÔNG QUA/BAN HÀNH </w:t>
      </w:r>
    </w:p>
    <w:p w14:paraId="1EB083DF" w14:textId="7C372A6F" w:rsidR="00323F84" w:rsidRPr="00C0659E" w:rsidRDefault="00B16948" w:rsidP="002D1180">
      <w:pPr>
        <w:widowControl w:val="0"/>
        <w:tabs>
          <w:tab w:val="left" w:pos="0"/>
        </w:tabs>
        <w:spacing w:before="120"/>
        <w:ind w:firstLine="720"/>
        <w:jc w:val="both"/>
        <w:rPr>
          <w:noProof w:val="0"/>
          <w:lang w:val="id-ID"/>
        </w:rPr>
      </w:pPr>
      <w:r w:rsidRPr="00C0659E">
        <w:rPr>
          <w:noProof w:val="0"/>
          <w:lang w:val="id-ID"/>
        </w:rPr>
        <w:t xml:space="preserve">Nguồn kinh phí từ ngân sách Trung ương, ngân sách địa phương, các nguồn tài chính hợp pháp khác theo quy định của pháp luật. </w:t>
      </w:r>
    </w:p>
    <w:p w14:paraId="74BFC080" w14:textId="6292F5A8" w:rsidR="00B16948" w:rsidRPr="004A4FA7" w:rsidRDefault="00B16948" w:rsidP="002D1180">
      <w:pPr>
        <w:widowControl w:val="0"/>
        <w:tabs>
          <w:tab w:val="left" w:pos="0"/>
        </w:tabs>
        <w:spacing w:before="120"/>
        <w:ind w:firstLine="720"/>
        <w:jc w:val="both"/>
        <w:rPr>
          <w:noProof w:val="0"/>
          <w:lang w:val="vi-VN"/>
        </w:rPr>
      </w:pPr>
      <w:r w:rsidRPr="00C0659E">
        <w:rPr>
          <w:noProof w:val="0"/>
          <w:lang w:val="id-ID"/>
        </w:rPr>
        <w:t xml:space="preserve">Trên đây là Tờ trình về dự thảo Nghị quyết </w:t>
      </w:r>
      <w:r w:rsidR="00DA59A8" w:rsidRPr="00DA59A8">
        <w:rPr>
          <w:noProof w:val="0"/>
          <w:lang w:val="id-ID"/>
        </w:rPr>
        <w:t>quy định khu vực không được phép chăn nuôi, vùng nuôi chim yến và chính sách hỗ trợ khi di dời cơ sở chăn nuôi ra khỏi khu vực không được phép chăn nuôi trên địa bàn tỉnh An Giang</w:t>
      </w:r>
      <w:r w:rsidRPr="00C0659E">
        <w:rPr>
          <w:noProof w:val="0"/>
          <w:lang w:val="id-ID"/>
        </w:rPr>
        <w:t>, Ủy ban nhân dân tỉnh xin kính trình Hội đồng nhân dân tỉnh xem xét, quyết định.</w:t>
      </w:r>
      <w:r w:rsidR="004A4FA7">
        <w:rPr>
          <w:noProof w:val="0"/>
          <w:lang w:val="vi-VN"/>
        </w:rPr>
        <w:t>/.</w:t>
      </w:r>
    </w:p>
    <w:bookmarkEnd w:id="0"/>
    <w:p w14:paraId="7B48DB11" w14:textId="77777777" w:rsidR="000565BC" w:rsidRPr="00C0659E" w:rsidRDefault="000565BC" w:rsidP="00DA5563">
      <w:pPr>
        <w:spacing w:before="100" w:line="252" w:lineRule="auto"/>
        <w:jc w:val="both"/>
        <w:rPr>
          <w:sz w:val="12"/>
          <w:szCs w:val="12"/>
          <w:lang w:val="id-ID"/>
        </w:rPr>
      </w:pPr>
    </w:p>
    <w:tbl>
      <w:tblPr>
        <w:tblW w:w="9072" w:type="dxa"/>
        <w:tblLook w:val="04A0" w:firstRow="1" w:lastRow="0" w:firstColumn="1" w:lastColumn="0" w:noHBand="0" w:noVBand="1"/>
      </w:tblPr>
      <w:tblGrid>
        <w:gridCol w:w="5387"/>
        <w:gridCol w:w="3685"/>
      </w:tblGrid>
      <w:tr w:rsidR="004E2173" w:rsidRPr="00E35EF9" w14:paraId="704271B8" w14:textId="77777777" w:rsidTr="00D24776">
        <w:trPr>
          <w:trHeight w:val="2262"/>
        </w:trPr>
        <w:tc>
          <w:tcPr>
            <w:tcW w:w="5387" w:type="dxa"/>
          </w:tcPr>
          <w:p w14:paraId="35092306" w14:textId="3B13AE65" w:rsidR="006D5BFB" w:rsidRPr="00C0659E" w:rsidRDefault="006D5BFB" w:rsidP="006D5BFB">
            <w:pPr>
              <w:tabs>
                <w:tab w:val="left" w:pos="6660"/>
              </w:tabs>
              <w:jc w:val="both"/>
              <w:rPr>
                <w:b/>
                <w:i/>
                <w:sz w:val="22"/>
                <w:szCs w:val="22"/>
                <w:lang w:val="id-ID"/>
              </w:rPr>
            </w:pPr>
            <w:r w:rsidRPr="00C0659E">
              <w:rPr>
                <w:b/>
                <w:i/>
                <w:sz w:val="24"/>
                <w:szCs w:val="24"/>
                <w:lang w:val="id-ID"/>
              </w:rPr>
              <w:t>Nơi nhận:</w:t>
            </w:r>
            <w:r w:rsidRPr="00C0659E">
              <w:rPr>
                <w:b/>
                <w:lang w:val="id-ID"/>
              </w:rPr>
              <w:t xml:space="preserve"> </w:t>
            </w:r>
          </w:p>
          <w:p w14:paraId="3A915CCB" w14:textId="77777777" w:rsidR="00851578" w:rsidRPr="00C0659E" w:rsidRDefault="00851578" w:rsidP="006D5BFB">
            <w:pPr>
              <w:jc w:val="both"/>
              <w:rPr>
                <w:sz w:val="22"/>
                <w:szCs w:val="22"/>
                <w:lang w:val="id-ID"/>
              </w:rPr>
            </w:pPr>
            <w:r w:rsidRPr="00C0659E">
              <w:rPr>
                <w:sz w:val="22"/>
                <w:szCs w:val="22"/>
                <w:lang w:val="id-ID"/>
              </w:rPr>
              <w:t xml:space="preserve">- Như trên; </w:t>
            </w:r>
          </w:p>
          <w:p w14:paraId="75A1B9C0" w14:textId="77777777" w:rsidR="00851578" w:rsidRPr="00C0659E" w:rsidRDefault="00851578" w:rsidP="006D5BFB">
            <w:pPr>
              <w:jc w:val="both"/>
              <w:rPr>
                <w:sz w:val="22"/>
                <w:szCs w:val="22"/>
                <w:lang w:val="id-ID"/>
              </w:rPr>
            </w:pPr>
            <w:r w:rsidRPr="00C0659E">
              <w:rPr>
                <w:sz w:val="22"/>
                <w:szCs w:val="22"/>
                <w:lang w:val="id-ID"/>
              </w:rPr>
              <w:t xml:space="preserve">- Chủ tịch, các Phó Chủ tịch UBND tỉnh; </w:t>
            </w:r>
          </w:p>
          <w:p w14:paraId="585FEB11" w14:textId="77777777" w:rsidR="00851578" w:rsidRPr="00C0659E" w:rsidRDefault="00851578" w:rsidP="006D5BFB">
            <w:pPr>
              <w:jc w:val="both"/>
              <w:rPr>
                <w:sz w:val="22"/>
                <w:szCs w:val="22"/>
                <w:lang w:val="id-ID"/>
              </w:rPr>
            </w:pPr>
            <w:r w:rsidRPr="00C0659E">
              <w:rPr>
                <w:sz w:val="22"/>
                <w:szCs w:val="22"/>
                <w:lang w:val="id-ID"/>
              </w:rPr>
              <w:t xml:space="preserve">- Văn phòng Đoàn ĐBQH và HĐND tỉnh; </w:t>
            </w:r>
          </w:p>
          <w:p w14:paraId="72C9CFCD" w14:textId="77777777" w:rsidR="00851578" w:rsidRPr="00C0659E" w:rsidRDefault="00851578" w:rsidP="006D5BFB">
            <w:pPr>
              <w:jc w:val="both"/>
              <w:rPr>
                <w:sz w:val="22"/>
                <w:szCs w:val="22"/>
                <w:lang w:val="id-ID"/>
              </w:rPr>
            </w:pPr>
            <w:r w:rsidRPr="00C0659E">
              <w:rPr>
                <w:sz w:val="22"/>
                <w:szCs w:val="22"/>
                <w:lang w:val="id-ID"/>
              </w:rPr>
              <w:t xml:space="preserve">- Lãnh đạo VP UBND tỉnh; </w:t>
            </w:r>
          </w:p>
          <w:p w14:paraId="4335E981" w14:textId="77777777" w:rsidR="00851578" w:rsidRPr="00C0659E" w:rsidRDefault="00851578" w:rsidP="006D5BFB">
            <w:pPr>
              <w:jc w:val="both"/>
              <w:rPr>
                <w:sz w:val="22"/>
                <w:szCs w:val="22"/>
                <w:lang w:val="id-ID"/>
              </w:rPr>
            </w:pPr>
            <w:r w:rsidRPr="00C0659E">
              <w:rPr>
                <w:sz w:val="22"/>
                <w:szCs w:val="22"/>
                <w:lang w:val="id-ID"/>
              </w:rPr>
              <w:t xml:space="preserve">- Các Sở, ngành, đoàn thể thuộc tỉnh; </w:t>
            </w:r>
          </w:p>
          <w:p w14:paraId="064BC16C" w14:textId="77777777" w:rsidR="00004E66" w:rsidRPr="00E35EF9" w:rsidRDefault="00851578" w:rsidP="006D5BFB">
            <w:pPr>
              <w:jc w:val="both"/>
              <w:rPr>
                <w:b/>
                <w:i/>
                <w:sz w:val="20"/>
                <w:szCs w:val="20"/>
              </w:rPr>
            </w:pPr>
            <w:r w:rsidRPr="00851578">
              <w:rPr>
                <w:sz w:val="22"/>
                <w:szCs w:val="22"/>
              </w:rPr>
              <w:t>- Lưu: VT, TH.</w:t>
            </w:r>
          </w:p>
        </w:tc>
        <w:tc>
          <w:tcPr>
            <w:tcW w:w="3685" w:type="dxa"/>
          </w:tcPr>
          <w:p w14:paraId="2348119F" w14:textId="77777777" w:rsidR="00851578" w:rsidRDefault="00851578" w:rsidP="00932823">
            <w:pPr>
              <w:jc w:val="center"/>
              <w:rPr>
                <w:b/>
              </w:rPr>
            </w:pPr>
            <w:r w:rsidRPr="00851578">
              <w:rPr>
                <w:b/>
              </w:rPr>
              <w:t xml:space="preserve">TM. UỶ BAN NHÂN DÂN </w:t>
            </w:r>
          </w:p>
          <w:p w14:paraId="1ED8BBE2" w14:textId="77777777" w:rsidR="00851578" w:rsidRDefault="00851578" w:rsidP="00932823">
            <w:pPr>
              <w:jc w:val="center"/>
              <w:rPr>
                <w:b/>
              </w:rPr>
            </w:pPr>
            <w:r w:rsidRPr="00851578">
              <w:rPr>
                <w:b/>
              </w:rPr>
              <w:t xml:space="preserve">KT. CHỦ TỊCH </w:t>
            </w:r>
          </w:p>
          <w:p w14:paraId="7BAC8CA3" w14:textId="77777777" w:rsidR="00BA0F45" w:rsidRPr="00E35EF9" w:rsidRDefault="00851578" w:rsidP="00932823">
            <w:pPr>
              <w:jc w:val="center"/>
              <w:rPr>
                <w:b/>
              </w:rPr>
            </w:pPr>
            <w:r w:rsidRPr="00851578">
              <w:rPr>
                <w:b/>
              </w:rPr>
              <w:t>PHÓ CHỦ TỊCH</w:t>
            </w:r>
          </w:p>
          <w:p w14:paraId="259C4A9E" w14:textId="77777777" w:rsidR="00D36B07" w:rsidRPr="00E35EF9" w:rsidRDefault="00D36B07" w:rsidP="00932823">
            <w:pPr>
              <w:jc w:val="center"/>
              <w:rPr>
                <w:b/>
              </w:rPr>
            </w:pPr>
          </w:p>
          <w:p w14:paraId="77E75D8C" w14:textId="77777777" w:rsidR="00D36B07" w:rsidRPr="00E35EF9" w:rsidRDefault="00D36B07" w:rsidP="00932823">
            <w:pPr>
              <w:jc w:val="center"/>
              <w:rPr>
                <w:b/>
              </w:rPr>
            </w:pPr>
          </w:p>
          <w:p w14:paraId="01FCAF03" w14:textId="77777777" w:rsidR="00DA5563" w:rsidRPr="00E35EF9" w:rsidRDefault="00DA5563" w:rsidP="00932823">
            <w:pPr>
              <w:jc w:val="center"/>
              <w:rPr>
                <w:b/>
              </w:rPr>
            </w:pPr>
          </w:p>
          <w:p w14:paraId="55D2AFF9" w14:textId="77777777" w:rsidR="00D36B07" w:rsidRPr="00E35EF9" w:rsidRDefault="00D36B07" w:rsidP="00932823">
            <w:pPr>
              <w:jc w:val="center"/>
              <w:rPr>
                <w:b/>
              </w:rPr>
            </w:pPr>
          </w:p>
          <w:p w14:paraId="0EB5D1E8" w14:textId="77777777" w:rsidR="00D36B07" w:rsidRPr="00E35EF9" w:rsidRDefault="00D36B07" w:rsidP="00932823">
            <w:pPr>
              <w:jc w:val="center"/>
              <w:rPr>
                <w:b/>
              </w:rPr>
            </w:pPr>
          </w:p>
        </w:tc>
      </w:tr>
    </w:tbl>
    <w:p w14:paraId="401181C6" w14:textId="77777777" w:rsidR="00DC7248" w:rsidRPr="00E35EF9" w:rsidRDefault="00DC7248" w:rsidP="00004E66">
      <w:pPr>
        <w:jc w:val="both"/>
        <w:rPr>
          <w:b/>
        </w:rPr>
      </w:pPr>
    </w:p>
    <w:sectPr w:rsidR="00DC7248" w:rsidRPr="00E35EF9" w:rsidSect="001E5052">
      <w:headerReference w:type="default" r:id="rId7"/>
      <w:footerReference w:type="even"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D5966" w14:textId="77777777" w:rsidR="00065A20" w:rsidRDefault="00065A20" w:rsidP="000E3EF1">
      <w:r>
        <w:separator/>
      </w:r>
    </w:p>
  </w:endnote>
  <w:endnote w:type="continuationSeparator" w:id="0">
    <w:p w14:paraId="7AE35375" w14:textId="77777777" w:rsidR="00065A20" w:rsidRDefault="00065A20" w:rsidP="000E3EF1">
      <w:r>
        <w:continuationSeparator/>
      </w:r>
    </w:p>
  </w:endnote>
  <w:endnote w:type="continuationNotice" w:id="1">
    <w:p w14:paraId="3AC8295C" w14:textId="77777777" w:rsidR="00065A20" w:rsidRDefault="00065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C0F3" w14:textId="77777777" w:rsidR="00FE27ED" w:rsidRDefault="00FE27ED" w:rsidP="00EB04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50012" w14:textId="77777777" w:rsidR="00FE27ED" w:rsidRDefault="00FE27ED" w:rsidP="009830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BD148" w14:textId="77777777" w:rsidR="00065A20" w:rsidRDefault="00065A20" w:rsidP="000E3EF1">
      <w:r>
        <w:separator/>
      </w:r>
    </w:p>
  </w:footnote>
  <w:footnote w:type="continuationSeparator" w:id="0">
    <w:p w14:paraId="01BF0772" w14:textId="77777777" w:rsidR="00065A20" w:rsidRDefault="00065A20" w:rsidP="000E3EF1">
      <w:r>
        <w:continuationSeparator/>
      </w:r>
    </w:p>
  </w:footnote>
  <w:footnote w:type="continuationNotice" w:id="1">
    <w:p w14:paraId="7E4BA0DB" w14:textId="77777777" w:rsidR="00065A20" w:rsidRDefault="00065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22C6" w14:textId="069CBBBE" w:rsidR="00E03437" w:rsidRDefault="00E03437" w:rsidP="005433D9">
    <w:pPr>
      <w:pStyle w:val="Header"/>
      <w:jc w:val="center"/>
      <w:rPr>
        <w:sz w:val="24"/>
        <w:szCs w:val="24"/>
      </w:rPr>
    </w:pPr>
    <w:r w:rsidRPr="00E03437">
      <w:rPr>
        <w:sz w:val="24"/>
        <w:szCs w:val="24"/>
      </w:rPr>
      <w:fldChar w:fldCharType="begin"/>
    </w:r>
    <w:r w:rsidRPr="00E03437">
      <w:rPr>
        <w:sz w:val="24"/>
        <w:szCs w:val="24"/>
      </w:rPr>
      <w:instrText xml:space="preserve"> PAGE   \* MERGEFORMAT </w:instrText>
    </w:r>
    <w:r w:rsidRPr="00E03437">
      <w:rPr>
        <w:sz w:val="24"/>
        <w:szCs w:val="24"/>
      </w:rPr>
      <w:fldChar w:fldCharType="separate"/>
    </w:r>
    <w:r w:rsidR="001F23A9">
      <w:rPr>
        <w:sz w:val="24"/>
        <w:szCs w:val="24"/>
      </w:rPr>
      <w:t>4</w:t>
    </w:r>
    <w:r w:rsidRPr="00E03437">
      <w:rPr>
        <w:sz w:val="24"/>
        <w:szCs w:val="24"/>
      </w:rPr>
      <w:fldChar w:fldCharType="end"/>
    </w:r>
  </w:p>
  <w:p w14:paraId="1D90F0A1" w14:textId="77777777" w:rsidR="006C1F5E" w:rsidRDefault="006C1F5E" w:rsidP="005433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187328DA"/>
    <w:multiLevelType w:val="hybridMultilevel"/>
    <w:tmpl w:val="8A382104"/>
    <w:lvl w:ilvl="0" w:tplc="13B2D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8777D"/>
    <w:multiLevelType w:val="hybridMultilevel"/>
    <w:tmpl w:val="54F6CCB6"/>
    <w:lvl w:ilvl="0" w:tplc="C9C6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E13B2C"/>
    <w:multiLevelType w:val="hybridMultilevel"/>
    <w:tmpl w:val="226CEBF6"/>
    <w:lvl w:ilvl="0" w:tplc="56789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355186"/>
    <w:multiLevelType w:val="hybridMultilevel"/>
    <w:tmpl w:val="D65648CC"/>
    <w:lvl w:ilvl="0" w:tplc="762E62EE">
      <w:start w:val="3"/>
      <w:numFmt w:val="lowerLetter"/>
      <w:lvlText w:val="%1."/>
      <w:lvlJc w:val="left"/>
      <w:pPr>
        <w:tabs>
          <w:tab w:val="num" w:pos="990"/>
        </w:tabs>
        <w:ind w:left="990" w:hanging="36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747B6133"/>
    <w:multiLevelType w:val="hybridMultilevel"/>
    <w:tmpl w:val="E03E25DC"/>
    <w:lvl w:ilvl="0" w:tplc="25D6D362">
      <w:start w:val="3"/>
      <w:numFmt w:val="lowerLetter"/>
      <w:lvlText w:val="%1."/>
      <w:lvlJc w:val="left"/>
      <w:pPr>
        <w:tabs>
          <w:tab w:val="num" w:pos="990"/>
        </w:tabs>
        <w:ind w:left="990" w:hanging="36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1211383045">
    <w:abstractNumId w:val="0"/>
  </w:num>
  <w:num w:numId="2" w16cid:durableId="2091193770">
    <w:abstractNumId w:val="6"/>
  </w:num>
  <w:num w:numId="3" w16cid:durableId="1258127358">
    <w:abstractNumId w:val="5"/>
  </w:num>
  <w:num w:numId="4" w16cid:durableId="703987863">
    <w:abstractNumId w:val="1"/>
  </w:num>
  <w:num w:numId="5" w16cid:durableId="1192450988">
    <w:abstractNumId w:val="4"/>
  </w:num>
  <w:num w:numId="6" w16cid:durableId="839007838">
    <w:abstractNumId w:val="2"/>
  </w:num>
  <w:num w:numId="7" w16cid:durableId="1500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48"/>
    <w:rsid w:val="00002032"/>
    <w:rsid w:val="00002428"/>
    <w:rsid w:val="000025BF"/>
    <w:rsid w:val="00004E66"/>
    <w:rsid w:val="00012313"/>
    <w:rsid w:val="00012E0F"/>
    <w:rsid w:val="0001361B"/>
    <w:rsid w:val="00015C61"/>
    <w:rsid w:val="00016F1B"/>
    <w:rsid w:val="00021212"/>
    <w:rsid w:val="00024557"/>
    <w:rsid w:val="000264A6"/>
    <w:rsid w:val="00026BDC"/>
    <w:rsid w:val="0002712C"/>
    <w:rsid w:val="00030835"/>
    <w:rsid w:val="00032176"/>
    <w:rsid w:val="000327DB"/>
    <w:rsid w:val="00041753"/>
    <w:rsid w:val="00044A24"/>
    <w:rsid w:val="00044AF5"/>
    <w:rsid w:val="00045C8E"/>
    <w:rsid w:val="000565BC"/>
    <w:rsid w:val="00056CFD"/>
    <w:rsid w:val="00061B0F"/>
    <w:rsid w:val="000628A6"/>
    <w:rsid w:val="00063791"/>
    <w:rsid w:val="00065A20"/>
    <w:rsid w:val="00067185"/>
    <w:rsid w:val="00067973"/>
    <w:rsid w:val="00070D03"/>
    <w:rsid w:val="0007794D"/>
    <w:rsid w:val="00085A9C"/>
    <w:rsid w:val="00086EA4"/>
    <w:rsid w:val="000877BF"/>
    <w:rsid w:val="00090580"/>
    <w:rsid w:val="0009215E"/>
    <w:rsid w:val="00092CCB"/>
    <w:rsid w:val="000A1769"/>
    <w:rsid w:val="000A436E"/>
    <w:rsid w:val="000B02AF"/>
    <w:rsid w:val="000B3DDB"/>
    <w:rsid w:val="000D20B3"/>
    <w:rsid w:val="000D3748"/>
    <w:rsid w:val="000D5E66"/>
    <w:rsid w:val="000D6B36"/>
    <w:rsid w:val="000D7347"/>
    <w:rsid w:val="000E3EF1"/>
    <w:rsid w:val="000E4BCD"/>
    <w:rsid w:val="000F1D23"/>
    <w:rsid w:val="000F2177"/>
    <w:rsid w:val="000F561C"/>
    <w:rsid w:val="000F7559"/>
    <w:rsid w:val="00107D7D"/>
    <w:rsid w:val="001121AA"/>
    <w:rsid w:val="00114203"/>
    <w:rsid w:val="001155D3"/>
    <w:rsid w:val="00115AB5"/>
    <w:rsid w:val="00130CDF"/>
    <w:rsid w:val="001411C8"/>
    <w:rsid w:val="00151899"/>
    <w:rsid w:val="00154608"/>
    <w:rsid w:val="0015468E"/>
    <w:rsid w:val="0016158C"/>
    <w:rsid w:val="00166548"/>
    <w:rsid w:val="001721F4"/>
    <w:rsid w:val="00180CF1"/>
    <w:rsid w:val="00180F66"/>
    <w:rsid w:val="00185A50"/>
    <w:rsid w:val="001860DE"/>
    <w:rsid w:val="00192081"/>
    <w:rsid w:val="00195172"/>
    <w:rsid w:val="001965E4"/>
    <w:rsid w:val="001A5128"/>
    <w:rsid w:val="001A5462"/>
    <w:rsid w:val="001A583F"/>
    <w:rsid w:val="001B333C"/>
    <w:rsid w:val="001B3BA7"/>
    <w:rsid w:val="001C0314"/>
    <w:rsid w:val="001C7525"/>
    <w:rsid w:val="001C765C"/>
    <w:rsid w:val="001C7F3B"/>
    <w:rsid w:val="001D1608"/>
    <w:rsid w:val="001D18C0"/>
    <w:rsid w:val="001D6920"/>
    <w:rsid w:val="001E5052"/>
    <w:rsid w:val="001E7365"/>
    <w:rsid w:val="001F23A9"/>
    <w:rsid w:val="001F5CF3"/>
    <w:rsid w:val="001F6B89"/>
    <w:rsid w:val="00201391"/>
    <w:rsid w:val="00201469"/>
    <w:rsid w:val="00207A36"/>
    <w:rsid w:val="00215C80"/>
    <w:rsid w:val="00225212"/>
    <w:rsid w:val="00225EF4"/>
    <w:rsid w:val="00233A09"/>
    <w:rsid w:val="00235ABF"/>
    <w:rsid w:val="00244BED"/>
    <w:rsid w:val="002466C0"/>
    <w:rsid w:val="00251D10"/>
    <w:rsid w:val="00261327"/>
    <w:rsid w:val="00261790"/>
    <w:rsid w:val="00262780"/>
    <w:rsid w:val="00264111"/>
    <w:rsid w:val="0026435C"/>
    <w:rsid w:val="002735F4"/>
    <w:rsid w:val="002759F1"/>
    <w:rsid w:val="002765F4"/>
    <w:rsid w:val="002769EA"/>
    <w:rsid w:val="002806D8"/>
    <w:rsid w:val="002811C0"/>
    <w:rsid w:val="00283333"/>
    <w:rsid w:val="00293E5D"/>
    <w:rsid w:val="0029586B"/>
    <w:rsid w:val="002A0A1E"/>
    <w:rsid w:val="002A55FC"/>
    <w:rsid w:val="002A7200"/>
    <w:rsid w:val="002A7A6E"/>
    <w:rsid w:val="002B569E"/>
    <w:rsid w:val="002B6705"/>
    <w:rsid w:val="002C5AFF"/>
    <w:rsid w:val="002C6398"/>
    <w:rsid w:val="002C71CC"/>
    <w:rsid w:val="002D1180"/>
    <w:rsid w:val="002D1E40"/>
    <w:rsid w:val="002D65F8"/>
    <w:rsid w:val="002E08BD"/>
    <w:rsid w:val="002E687B"/>
    <w:rsid w:val="002F228F"/>
    <w:rsid w:val="002F25F8"/>
    <w:rsid w:val="002F4CAE"/>
    <w:rsid w:val="002F5196"/>
    <w:rsid w:val="00300935"/>
    <w:rsid w:val="00302689"/>
    <w:rsid w:val="0030592B"/>
    <w:rsid w:val="003121CC"/>
    <w:rsid w:val="00314F47"/>
    <w:rsid w:val="00316534"/>
    <w:rsid w:val="00323E22"/>
    <w:rsid w:val="00323F84"/>
    <w:rsid w:val="003312C3"/>
    <w:rsid w:val="003318CB"/>
    <w:rsid w:val="003354BC"/>
    <w:rsid w:val="00347498"/>
    <w:rsid w:val="00350CCD"/>
    <w:rsid w:val="00350EB6"/>
    <w:rsid w:val="00360A28"/>
    <w:rsid w:val="003612D6"/>
    <w:rsid w:val="00362EC7"/>
    <w:rsid w:val="0036449B"/>
    <w:rsid w:val="00364C7B"/>
    <w:rsid w:val="00370E66"/>
    <w:rsid w:val="00374F2E"/>
    <w:rsid w:val="003776A8"/>
    <w:rsid w:val="003812D6"/>
    <w:rsid w:val="00383A95"/>
    <w:rsid w:val="00386BDD"/>
    <w:rsid w:val="0038748D"/>
    <w:rsid w:val="003903E4"/>
    <w:rsid w:val="00392841"/>
    <w:rsid w:val="003940D0"/>
    <w:rsid w:val="003A0D1A"/>
    <w:rsid w:val="003A1162"/>
    <w:rsid w:val="003A1518"/>
    <w:rsid w:val="003A43B0"/>
    <w:rsid w:val="003A63FA"/>
    <w:rsid w:val="003B0197"/>
    <w:rsid w:val="003B0BC1"/>
    <w:rsid w:val="003B0DF0"/>
    <w:rsid w:val="003B1CC7"/>
    <w:rsid w:val="003B2BC4"/>
    <w:rsid w:val="003B2EE6"/>
    <w:rsid w:val="003B6681"/>
    <w:rsid w:val="003C2BE8"/>
    <w:rsid w:val="003C3959"/>
    <w:rsid w:val="003D0E87"/>
    <w:rsid w:val="003D7832"/>
    <w:rsid w:val="003E3AAC"/>
    <w:rsid w:val="003E5883"/>
    <w:rsid w:val="003F7327"/>
    <w:rsid w:val="00400A78"/>
    <w:rsid w:val="00404970"/>
    <w:rsid w:val="00405BA7"/>
    <w:rsid w:val="00407844"/>
    <w:rsid w:val="004108B2"/>
    <w:rsid w:val="004124C3"/>
    <w:rsid w:val="004125A6"/>
    <w:rsid w:val="0041495B"/>
    <w:rsid w:val="00414E6C"/>
    <w:rsid w:val="00416ABD"/>
    <w:rsid w:val="00421480"/>
    <w:rsid w:val="0042233E"/>
    <w:rsid w:val="00424FF6"/>
    <w:rsid w:val="00425953"/>
    <w:rsid w:val="00425EE4"/>
    <w:rsid w:val="00430825"/>
    <w:rsid w:val="00444DC4"/>
    <w:rsid w:val="00455197"/>
    <w:rsid w:val="00457A75"/>
    <w:rsid w:val="00460709"/>
    <w:rsid w:val="00461DEA"/>
    <w:rsid w:val="004623CB"/>
    <w:rsid w:val="00462A26"/>
    <w:rsid w:val="00465629"/>
    <w:rsid w:val="00466DBD"/>
    <w:rsid w:val="00470647"/>
    <w:rsid w:val="00470DF6"/>
    <w:rsid w:val="004711EE"/>
    <w:rsid w:val="00472BF4"/>
    <w:rsid w:val="00473CE2"/>
    <w:rsid w:val="004751DA"/>
    <w:rsid w:val="004804BC"/>
    <w:rsid w:val="00480FD2"/>
    <w:rsid w:val="00482A14"/>
    <w:rsid w:val="004860B6"/>
    <w:rsid w:val="00490DA0"/>
    <w:rsid w:val="00493479"/>
    <w:rsid w:val="00494644"/>
    <w:rsid w:val="00495D71"/>
    <w:rsid w:val="004967E0"/>
    <w:rsid w:val="00497CB6"/>
    <w:rsid w:val="004A0DED"/>
    <w:rsid w:val="004A1C0B"/>
    <w:rsid w:val="004A4FA7"/>
    <w:rsid w:val="004A76BF"/>
    <w:rsid w:val="004C00BC"/>
    <w:rsid w:val="004C6A64"/>
    <w:rsid w:val="004D3F51"/>
    <w:rsid w:val="004D5BA5"/>
    <w:rsid w:val="004D7D78"/>
    <w:rsid w:val="004E0140"/>
    <w:rsid w:val="004E0974"/>
    <w:rsid w:val="004E2173"/>
    <w:rsid w:val="004E6417"/>
    <w:rsid w:val="004F0554"/>
    <w:rsid w:val="004F4956"/>
    <w:rsid w:val="00506BE5"/>
    <w:rsid w:val="00507A4E"/>
    <w:rsid w:val="00513608"/>
    <w:rsid w:val="005200C8"/>
    <w:rsid w:val="00525781"/>
    <w:rsid w:val="00533A01"/>
    <w:rsid w:val="00541678"/>
    <w:rsid w:val="005433D9"/>
    <w:rsid w:val="00545A43"/>
    <w:rsid w:val="00550053"/>
    <w:rsid w:val="00554954"/>
    <w:rsid w:val="00556338"/>
    <w:rsid w:val="00560E9E"/>
    <w:rsid w:val="00563905"/>
    <w:rsid w:val="00564326"/>
    <w:rsid w:val="00564F05"/>
    <w:rsid w:val="005722C3"/>
    <w:rsid w:val="005730D9"/>
    <w:rsid w:val="0057393E"/>
    <w:rsid w:val="0057437D"/>
    <w:rsid w:val="00574DDC"/>
    <w:rsid w:val="00575E40"/>
    <w:rsid w:val="00576A99"/>
    <w:rsid w:val="00577D03"/>
    <w:rsid w:val="005815C3"/>
    <w:rsid w:val="00582C18"/>
    <w:rsid w:val="00585753"/>
    <w:rsid w:val="005918B3"/>
    <w:rsid w:val="0059401C"/>
    <w:rsid w:val="00594916"/>
    <w:rsid w:val="0059719F"/>
    <w:rsid w:val="005A68B6"/>
    <w:rsid w:val="005A6BA4"/>
    <w:rsid w:val="005B42D0"/>
    <w:rsid w:val="005B6DE3"/>
    <w:rsid w:val="005B7A10"/>
    <w:rsid w:val="005C3D2C"/>
    <w:rsid w:val="005C4ECF"/>
    <w:rsid w:val="005D233F"/>
    <w:rsid w:val="005D34BA"/>
    <w:rsid w:val="005E13C7"/>
    <w:rsid w:val="005E1BED"/>
    <w:rsid w:val="005E284A"/>
    <w:rsid w:val="005E3727"/>
    <w:rsid w:val="005E59A7"/>
    <w:rsid w:val="005E5CE0"/>
    <w:rsid w:val="005E5E1E"/>
    <w:rsid w:val="005E7005"/>
    <w:rsid w:val="005E7F77"/>
    <w:rsid w:val="005F307E"/>
    <w:rsid w:val="005F74DF"/>
    <w:rsid w:val="00602E32"/>
    <w:rsid w:val="00603FDA"/>
    <w:rsid w:val="0061372D"/>
    <w:rsid w:val="00613BBE"/>
    <w:rsid w:val="00616DE7"/>
    <w:rsid w:val="00631452"/>
    <w:rsid w:val="00644B4F"/>
    <w:rsid w:val="00645749"/>
    <w:rsid w:val="0064596A"/>
    <w:rsid w:val="00650F21"/>
    <w:rsid w:val="00657A91"/>
    <w:rsid w:val="006603D7"/>
    <w:rsid w:val="006728B1"/>
    <w:rsid w:val="00672932"/>
    <w:rsid w:val="00672F1A"/>
    <w:rsid w:val="006811F0"/>
    <w:rsid w:val="0069004C"/>
    <w:rsid w:val="00691496"/>
    <w:rsid w:val="00691527"/>
    <w:rsid w:val="006920F6"/>
    <w:rsid w:val="00694321"/>
    <w:rsid w:val="0069711B"/>
    <w:rsid w:val="006A09C4"/>
    <w:rsid w:val="006A308D"/>
    <w:rsid w:val="006B0224"/>
    <w:rsid w:val="006B250F"/>
    <w:rsid w:val="006C0C42"/>
    <w:rsid w:val="006C1F59"/>
    <w:rsid w:val="006C1F5E"/>
    <w:rsid w:val="006C4E7F"/>
    <w:rsid w:val="006D2201"/>
    <w:rsid w:val="006D2DB1"/>
    <w:rsid w:val="006D3005"/>
    <w:rsid w:val="006D300A"/>
    <w:rsid w:val="006D5BFB"/>
    <w:rsid w:val="006D622B"/>
    <w:rsid w:val="006D662C"/>
    <w:rsid w:val="006D75E0"/>
    <w:rsid w:val="006E3586"/>
    <w:rsid w:val="006E41D1"/>
    <w:rsid w:val="006E6B0A"/>
    <w:rsid w:val="006F05F4"/>
    <w:rsid w:val="006F42E3"/>
    <w:rsid w:val="00700937"/>
    <w:rsid w:val="00700CC5"/>
    <w:rsid w:val="0070136E"/>
    <w:rsid w:val="00703BA3"/>
    <w:rsid w:val="007055CE"/>
    <w:rsid w:val="00722455"/>
    <w:rsid w:val="0072282F"/>
    <w:rsid w:val="007246D1"/>
    <w:rsid w:val="0072610A"/>
    <w:rsid w:val="00736D0C"/>
    <w:rsid w:val="0074016D"/>
    <w:rsid w:val="007438E6"/>
    <w:rsid w:val="0075480A"/>
    <w:rsid w:val="00754B0F"/>
    <w:rsid w:val="00755389"/>
    <w:rsid w:val="00755A9B"/>
    <w:rsid w:val="0076084D"/>
    <w:rsid w:val="0076287E"/>
    <w:rsid w:val="00764C4C"/>
    <w:rsid w:val="00770A83"/>
    <w:rsid w:val="00771A0C"/>
    <w:rsid w:val="007734F6"/>
    <w:rsid w:val="00774332"/>
    <w:rsid w:val="00774F62"/>
    <w:rsid w:val="007761DD"/>
    <w:rsid w:val="00780A00"/>
    <w:rsid w:val="007834EA"/>
    <w:rsid w:val="00784E56"/>
    <w:rsid w:val="00793599"/>
    <w:rsid w:val="0079425A"/>
    <w:rsid w:val="00794652"/>
    <w:rsid w:val="00796C51"/>
    <w:rsid w:val="007A5675"/>
    <w:rsid w:val="007A6967"/>
    <w:rsid w:val="007A733F"/>
    <w:rsid w:val="007B14AE"/>
    <w:rsid w:val="007B3B0F"/>
    <w:rsid w:val="007C1DCF"/>
    <w:rsid w:val="007C3371"/>
    <w:rsid w:val="007C41C7"/>
    <w:rsid w:val="007C43F4"/>
    <w:rsid w:val="007F0CCA"/>
    <w:rsid w:val="007F2116"/>
    <w:rsid w:val="007F7050"/>
    <w:rsid w:val="0080418F"/>
    <w:rsid w:val="00806C25"/>
    <w:rsid w:val="00806CD4"/>
    <w:rsid w:val="00812A11"/>
    <w:rsid w:val="00814FAC"/>
    <w:rsid w:val="00814FC9"/>
    <w:rsid w:val="00816FB4"/>
    <w:rsid w:val="00822C18"/>
    <w:rsid w:val="00824ECE"/>
    <w:rsid w:val="008253F1"/>
    <w:rsid w:val="00825650"/>
    <w:rsid w:val="00825A84"/>
    <w:rsid w:val="00831E36"/>
    <w:rsid w:val="00834ABA"/>
    <w:rsid w:val="0084637E"/>
    <w:rsid w:val="00851578"/>
    <w:rsid w:val="00851A0C"/>
    <w:rsid w:val="008525BF"/>
    <w:rsid w:val="00861226"/>
    <w:rsid w:val="008647FE"/>
    <w:rsid w:val="008667C0"/>
    <w:rsid w:val="008727D7"/>
    <w:rsid w:val="008742A0"/>
    <w:rsid w:val="00876CD3"/>
    <w:rsid w:val="00882C25"/>
    <w:rsid w:val="0088634D"/>
    <w:rsid w:val="00887DE2"/>
    <w:rsid w:val="008906D1"/>
    <w:rsid w:val="008A1070"/>
    <w:rsid w:val="008A2CFF"/>
    <w:rsid w:val="008A31F0"/>
    <w:rsid w:val="008A3E55"/>
    <w:rsid w:val="008A5A27"/>
    <w:rsid w:val="008B0E7F"/>
    <w:rsid w:val="008B54C2"/>
    <w:rsid w:val="008B6148"/>
    <w:rsid w:val="008C07E5"/>
    <w:rsid w:val="008C0E01"/>
    <w:rsid w:val="008C3338"/>
    <w:rsid w:val="008C3BB5"/>
    <w:rsid w:val="008D3984"/>
    <w:rsid w:val="008D6AA4"/>
    <w:rsid w:val="008E0950"/>
    <w:rsid w:val="008E60DD"/>
    <w:rsid w:val="008E778F"/>
    <w:rsid w:val="00900D7F"/>
    <w:rsid w:val="009012F6"/>
    <w:rsid w:val="00901FC9"/>
    <w:rsid w:val="00914D30"/>
    <w:rsid w:val="009159D5"/>
    <w:rsid w:val="009169EF"/>
    <w:rsid w:val="00920D53"/>
    <w:rsid w:val="0093150B"/>
    <w:rsid w:val="00932823"/>
    <w:rsid w:val="00937675"/>
    <w:rsid w:val="00940809"/>
    <w:rsid w:val="009412F6"/>
    <w:rsid w:val="00941C02"/>
    <w:rsid w:val="00942C4C"/>
    <w:rsid w:val="00952552"/>
    <w:rsid w:val="0095501A"/>
    <w:rsid w:val="00955ECB"/>
    <w:rsid w:val="009576DF"/>
    <w:rsid w:val="00965FB7"/>
    <w:rsid w:val="00966AC9"/>
    <w:rsid w:val="0097073C"/>
    <w:rsid w:val="00971DE4"/>
    <w:rsid w:val="009731A7"/>
    <w:rsid w:val="00973F67"/>
    <w:rsid w:val="00974314"/>
    <w:rsid w:val="009748A9"/>
    <w:rsid w:val="009816B4"/>
    <w:rsid w:val="00983002"/>
    <w:rsid w:val="00986337"/>
    <w:rsid w:val="00986E6C"/>
    <w:rsid w:val="00987455"/>
    <w:rsid w:val="0098782A"/>
    <w:rsid w:val="0099348C"/>
    <w:rsid w:val="009A4522"/>
    <w:rsid w:val="009B1ED6"/>
    <w:rsid w:val="009B44DB"/>
    <w:rsid w:val="009C1026"/>
    <w:rsid w:val="009C16AC"/>
    <w:rsid w:val="009C192F"/>
    <w:rsid w:val="009C7828"/>
    <w:rsid w:val="009D1D70"/>
    <w:rsid w:val="009D28B3"/>
    <w:rsid w:val="009D5166"/>
    <w:rsid w:val="009D5B2D"/>
    <w:rsid w:val="009D5B3D"/>
    <w:rsid w:val="009D6433"/>
    <w:rsid w:val="009E233E"/>
    <w:rsid w:val="009E6198"/>
    <w:rsid w:val="009E6998"/>
    <w:rsid w:val="009E7258"/>
    <w:rsid w:val="009F2184"/>
    <w:rsid w:val="009F31E0"/>
    <w:rsid w:val="00A0119A"/>
    <w:rsid w:val="00A02649"/>
    <w:rsid w:val="00A06B2B"/>
    <w:rsid w:val="00A07015"/>
    <w:rsid w:val="00A11D08"/>
    <w:rsid w:val="00A154BF"/>
    <w:rsid w:val="00A15BB3"/>
    <w:rsid w:val="00A16E1B"/>
    <w:rsid w:val="00A17E75"/>
    <w:rsid w:val="00A21191"/>
    <w:rsid w:val="00A226F7"/>
    <w:rsid w:val="00A2500F"/>
    <w:rsid w:val="00A255BD"/>
    <w:rsid w:val="00A27752"/>
    <w:rsid w:val="00A3456A"/>
    <w:rsid w:val="00A34ED3"/>
    <w:rsid w:val="00A36504"/>
    <w:rsid w:val="00A36E64"/>
    <w:rsid w:val="00A4246A"/>
    <w:rsid w:val="00A42704"/>
    <w:rsid w:val="00A4288B"/>
    <w:rsid w:val="00A52C36"/>
    <w:rsid w:val="00A5348D"/>
    <w:rsid w:val="00A549CF"/>
    <w:rsid w:val="00A6381E"/>
    <w:rsid w:val="00A7440E"/>
    <w:rsid w:val="00A749B7"/>
    <w:rsid w:val="00A7523C"/>
    <w:rsid w:val="00A80121"/>
    <w:rsid w:val="00A821D5"/>
    <w:rsid w:val="00A911B1"/>
    <w:rsid w:val="00A91A2D"/>
    <w:rsid w:val="00A91C1B"/>
    <w:rsid w:val="00A973EC"/>
    <w:rsid w:val="00AA03A4"/>
    <w:rsid w:val="00AA348A"/>
    <w:rsid w:val="00AA4000"/>
    <w:rsid w:val="00AB3EF3"/>
    <w:rsid w:val="00AB4E34"/>
    <w:rsid w:val="00AB7072"/>
    <w:rsid w:val="00AC0D70"/>
    <w:rsid w:val="00AC1D4A"/>
    <w:rsid w:val="00AC3BD3"/>
    <w:rsid w:val="00AC4E07"/>
    <w:rsid w:val="00AC5FCC"/>
    <w:rsid w:val="00AD10EC"/>
    <w:rsid w:val="00AD1308"/>
    <w:rsid w:val="00AD3C48"/>
    <w:rsid w:val="00AD4620"/>
    <w:rsid w:val="00AE4AEE"/>
    <w:rsid w:val="00AF1D4D"/>
    <w:rsid w:val="00B00EEA"/>
    <w:rsid w:val="00B03FF5"/>
    <w:rsid w:val="00B10BB6"/>
    <w:rsid w:val="00B13F57"/>
    <w:rsid w:val="00B1457B"/>
    <w:rsid w:val="00B16948"/>
    <w:rsid w:val="00B16F84"/>
    <w:rsid w:val="00B20106"/>
    <w:rsid w:val="00B208C7"/>
    <w:rsid w:val="00B2125F"/>
    <w:rsid w:val="00B315DD"/>
    <w:rsid w:val="00B31C19"/>
    <w:rsid w:val="00B3620F"/>
    <w:rsid w:val="00B41302"/>
    <w:rsid w:val="00B431CA"/>
    <w:rsid w:val="00B46F0F"/>
    <w:rsid w:val="00B52666"/>
    <w:rsid w:val="00B52E66"/>
    <w:rsid w:val="00B52F98"/>
    <w:rsid w:val="00B56C23"/>
    <w:rsid w:val="00B62DA0"/>
    <w:rsid w:val="00B633B4"/>
    <w:rsid w:val="00B66DC2"/>
    <w:rsid w:val="00B67C6D"/>
    <w:rsid w:val="00B748D6"/>
    <w:rsid w:val="00B7675D"/>
    <w:rsid w:val="00B76B72"/>
    <w:rsid w:val="00B77F9A"/>
    <w:rsid w:val="00B81914"/>
    <w:rsid w:val="00B8571E"/>
    <w:rsid w:val="00B86AEE"/>
    <w:rsid w:val="00B90ECE"/>
    <w:rsid w:val="00B924E6"/>
    <w:rsid w:val="00B93398"/>
    <w:rsid w:val="00B94DD4"/>
    <w:rsid w:val="00B953E5"/>
    <w:rsid w:val="00BA0F45"/>
    <w:rsid w:val="00BA427B"/>
    <w:rsid w:val="00BA5CD8"/>
    <w:rsid w:val="00BA5EDE"/>
    <w:rsid w:val="00BA6573"/>
    <w:rsid w:val="00BA7818"/>
    <w:rsid w:val="00BB265E"/>
    <w:rsid w:val="00BB2722"/>
    <w:rsid w:val="00BB325D"/>
    <w:rsid w:val="00BB5764"/>
    <w:rsid w:val="00BB5B94"/>
    <w:rsid w:val="00BC241E"/>
    <w:rsid w:val="00BC2B27"/>
    <w:rsid w:val="00BC50BE"/>
    <w:rsid w:val="00BC541D"/>
    <w:rsid w:val="00BD4873"/>
    <w:rsid w:val="00BD7F39"/>
    <w:rsid w:val="00BF4133"/>
    <w:rsid w:val="00C0131C"/>
    <w:rsid w:val="00C02602"/>
    <w:rsid w:val="00C0659E"/>
    <w:rsid w:val="00C13B2F"/>
    <w:rsid w:val="00C16DB2"/>
    <w:rsid w:val="00C175D3"/>
    <w:rsid w:val="00C202F9"/>
    <w:rsid w:val="00C2523E"/>
    <w:rsid w:val="00C254B1"/>
    <w:rsid w:val="00C322A6"/>
    <w:rsid w:val="00C370A7"/>
    <w:rsid w:val="00C37596"/>
    <w:rsid w:val="00C379D6"/>
    <w:rsid w:val="00C43DA5"/>
    <w:rsid w:val="00C4566C"/>
    <w:rsid w:val="00C53A2D"/>
    <w:rsid w:val="00C56C9F"/>
    <w:rsid w:val="00C56F03"/>
    <w:rsid w:val="00C60FDF"/>
    <w:rsid w:val="00C63C84"/>
    <w:rsid w:val="00C646C3"/>
    <w:rsid w:val="00C671A0"/>
    <w:rsid w:val="00C733AB"/>
    <w:rsid w:val="00C751EA"/>
    <w:rsid w:val="00C75305"/>
    <w:rsid w:val="00C82995"/>
    <w:rsid w:val="00C85B28"/>
    <w:rsid w:val="00C87028"/>
    <w:rsid w:val="00C876EE"/>
    <w:rsid w:val="00CA0740"/>
    <w:rsid w:val="00CA12B3"/>
    <w:rsid w:val="00CA3501"/>
    <w:rsid w:val="00CA5F3D"/>
    <w:rsid w:val="00CA72AC"/>
    <w:rsid w:val="00CA752A"/>
    <w:rsid w:val="00CB3876"/>
    <w:rsid w:val="00CC626E"/>
    <w:rsid w:val="00CC6DB6"/>
    <w:rsid w:val="00CC7741"/>
    <w:rsid w:val="00CD16BF"/>
    <w:rsid w:val="00CD2A7D"/>
    <w:rsid w:val="00CD4AAD"/>
    <w:rsid w:val="00CD5360"/>
    <w:rsid w:val="00CD59BA"/>
    <w:rsid w:val="00CD5B4F"/>
    <w:rsid w:val="00CD78F4"/>
    <w:rsid w:val="00CF05D7"/>
    <w:rsid w:val="00CF0B25"/>
    <w:rsid w:val="00CF1C2C"/>
    <w:rsid w:val="00CF6D64"/>
    <w:rsid w:val="00CF76D9"/>
    <w:rsid w:val="00D05803"/>
    <w:rsid w:val="00D135BA"/>
    <w:rsid w:val="00D21688"/>
    <w:rsid w:val="00D22C0C"/>
    <w:rsid w:val="00D246C7"/>
    <w:rsid w:val="00D24776"/>
    <w:rsid w:val="00D3546C"/>
    <w:rsid w:val="00D356D2"/>
    <w:rsid w:val="00D36B07"/>
    <w:rsid w:val="00D36B38"/>
    <w:rsid w:val="00D37D06"/>
    <w:rsid w:val="00D40B03"/>
    <w:rsid w:val="00D40C87"/>
    <w:rsid w:val="00D437B2"/>
    <w:rsid w:val="00D56817"/>
    <w:rsid w:val="00D56A9A"/>
    <w:rsid w:val="00D75AD0"/>
    <w:rsid w:val="00D82C0A"/>
    <w:rsid w:val="00D85462"/>
    <w:rsid w:val="00DA5563"/>
    <w:rsid w:val="00DA59A8"/>
    <w:rsid w:val="00DA794A"/>
    <w:rsid w:val="00DB2A2D"/>
    <w:rsid w:val="00DC1306"/>
    <w:rsid w:val="00DC26EF"/>
    <w:rsid w:val="00DC3738"/>
    <w:rsid w:val="00DC44FC"/>
    <w:rsid w:val="00DC45E7"/>
    <w:rsid w:val="00DC532D"/>
    <w:rsid w:val="00DC5359"/>
    <w:rsid w:val="00DC7248"/>
    <w:rsid w:val="00DD1347"/>
    <w:rsid w:val="00DD71A9"/>
    <w:rsid w:val="00DD735A"/>
    <w:rsid w:val="00DE0C70"/>
    <w:rsid w:val="00DF3A95"/>
    <w:rsid w:val="00E01642"/>
    <w:rsid w:val="00E01BEF"/>
    <w:rsid w:val="00E02C2B"/>
    <w:rsid w:val="00E03437"/>
    <w:rsid w:val="00E03AAD"/>
    <w:rsid w:val="00E05E18"/>
    <w:rsid w:val="00E11619"/>
    <w:rsid w:val="00E152A0"/>
    <w:rsid w:val="00E20A63"/>
    <w:rsid w:val="00E218D6"/>
    <w:rsid w:val="00E245F4"/>
    <w:rsid w:val="00E2712E"/>
    <w:rsid w:val="00E275DB"/>
    <w:rsid w:val="00E3581C"/>
    <w:rsid w:val="00E35EF9"/>
    <w:rsid w:val="00E36146"/>
    <w:rsid w:val="00E37189"/>
    <w:rsid w:val="00E40691"/>
    <w:rsid w:val="00E42F89"/>
    <w:rsid w:val="00E45919"/>
    <w:rsid w:val="00E45C39"/>
    <w:rsid w:val="00E47282"/>
    <w:rsid w:val="00E52801"/>
    <w:rsid w:val="00E54C60"/>
    <w:rsid w:val="00E55CCD"/>
    <w:rsid w:val="00E57572"/>
    <w:rsid w:val="00E601F5"/>
    <w:rsid w:val="00E6055E"/>
    <w:rsid w:val="00E6268D"/>
    <w:rsid w:val="00E62EDD"/>
    <w:rsid w:val="00E659F1"/>
    <w:rsid w:val="00E72717"/>
    <w:rsid w:val="00E740F1"/>
    <w:rsid w:val="00E762DD"/>
    <w:rsid w:val="00E81756"/>
    <w:rsid w:val="00E9618F"/>
    <w:rsid w:val="00EA1D54"/>
    <w:rsid w:val="00EA2537"/>
    <w:rsid w:val="00EA450C"/>
    <w:rsid w:val="00EA4B22"/>
    <w:rsid w:val="00EB0472"/>
    <w:rsid w:val="00EB765C"/>
    <w:rsid w:val="00ED0BCC"/>
    <w:rsid w:val="00ED3BD3"/>
    <w:rsid w:val="00ED488C"/>
    <w:rsid w:val="00ED531E"/>
    <w:rsid w:val="00EE04DD"/>
    <w:rsid w:val="00EE12B3"/>
    <w:rsid w:val="00EE12FB"/>
    <w:rsid w:val="00EE22D2"/>
    <w:rsid w:val="00EE3914"/>
    <w:rsid w:val="00EE7FBA"/>
    <w:rsid w:val="00EF0C00"/>
    <w:rsid w:val="00EF12AE"/>
    <w:rsid w:val="00EF3445"/>
    <w:rsid w:val="00F0208F"/>
    <w:rsid w:val="00F12C75"/>
    <w:rsid w:val="00F13EBE"/>
    <w:rsid w:val="00F150C4"/>
    <w:rsid w:val="00F1725D"/>
    <w:rsid w:val="00F22FF3"/>
    <w:rsid w:val="00F24492"/>
    <w:rsid w:val="00F35AFB"/>
    <w:rsid w:val="00F41784"/>
    <w:rsid w:val="00F41C0E"/>
    <w:rsid w:val="00F41C3B"/>
    <w:rsid w:val="00F43CD1"/>
    <w:rsid w:val="00F5462F"/>
    <w:rsid w:val="00F5615A"/>
    <w:rsid w:val="00F56261"/>
    <w:rsid w:val="00F563A8"/>
    <w:rsid w:val="00F716E4"/>
    <w:rsid w:val="00F757B3"/>
    <w:rsid w:val="00F818CA"/>
    <w:rsid w:val="00F8647B"/>
    <w:rsid w:val="00F9170F"/>
    <w:rsid w:val="00F94BD3"/>
    <w:rsid w:val="00F94D3F"/>
    <w:rsid w:val="00F97385"/>
    <w:rsid w:val="00FA2502"/>
    <w:rsid w:val="00FA29B8"/>
    <w:rsid w:val="00FA2C64"/>
    <w:rsid w:val="00FA5432"/>
    <w:rsid w:val="00FA6231"/>
    <w:rsid w:val="00FB112F"/>
    <w:rsid w:val="00FB228F"/>
    <w:rsid w:val="00FB4C7E"/>
    <w:rsid w:val="00FC0C39"/>
    <w:rsid w:val="00FD1152"/>
    <w:rsid w:val="00FD35AD"/>
    <w:rsid w:val="00FD4F15"/>
    <w:rsid w:val="00FD5FC6"/>
    <w:rsid w:val="00FE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04C05"/>
  <w15:chartTrackingRefBased/>
  <w15:docId w15:val="{A10EE9CC-49FC-41C6-A67D-EFA1B822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10A"/>
    <w:rPr>
      <w:noProof/>
      <w:sz w:val="28"/>
      <w:szCs w:val="28"/>
    </w:rPr>
  </w:style>
  <w:style w:type="paragraph" w:styleId="Heading5">
    <w:name w:val="heading 5"/>
    <w:basedOn w:val="Normal"/>
    <w:next w:val="Normal"/>
    <w:link w:val="Heading5Char"/>
    <w:uiPriority w:val="9"/>
    <w:unhideWhenUsed/>
    <w:qFormat/>
    <w:rsid w:val="004A4FA7"/>
    <w:pPr>
      <w:keepNext/>
      <w:outlineLvl w:val="4"/>
    </w:pPr>
    <w:rPr>
      <w:rFonts w:ascii=".VnTime" w:hAnsi=".VnTime"/>
      <w:noProof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7248"/>
    <w:pPr>
      <w:ind w:firstLine="567"/>
      <w:jc w:val="both"/>
    </w:pPr>
    <w:rPr>
      <w:szCs w:val="20"/>
    </w:rPr>
  </w:style>
  <w:style w:type="paragraph" w:styleId="Header">
    <w:name w:val="header"/>
    <w:basedOn w:val="Normal"/>
    <w:link w:val="HeaderChar"/>
    <w:uiPriority w:val="99"/>
    <w:rsid w:val="000E3EF1"/>
    <w:pPr>
      <w:tabs>
        <w:tab w:val="center" w:pos="4680"/>
        <w:tab w:val="right" w:pos="9360"/>
      </w:tabs>
    </w:pPr>
    <w:rPr>
      <w:lang w:val="x-none" w:eastAsia="x-none"/>
    </w:rPr>
  </w:style>
  <w:style w:type="character" w:customStyle="1" w:styleId="HeaderChar">
    <w:name w:val="Header Char"/>
    <w:link w:val="Header"/>
    <w:uiPriority w:val="99"/>
    <w:rsid w:val="000E3EF1"/>
    <w:rPr>
      <w:sz w:val="28"/>
      <w:szCs w:val="28"/>
    </w:rPr>
  </w:style>
  <w:style w:type="paragraph" w:styleId="Footer">
    <w:name w:val="footer"/>
    <w:basedOn w:val="Normal"/>
    <w:link w:val="FooterChar"/>
    <w:uiPriority w:val="99"/>
    <w:rsid w:val="000E3EF1"/>
    <w:pPr>
      <w:tabs>
        <w:tab w:val="center" w:pos="4680"/>
        <w:tab w:val="right" w:pos="9360"/>
      </w:tabs>
    </w:pPr>
    <w:rPr>
      <w:lang w:val="x-none" w:eastAsia="x-none"/>
    </w:rPr>
  </w:style>
  <w:style w:type="character" w:customStyle="1" w:styleId="FooterChar">
    <w:name w:val="Footer Char"/>
    <w:link w:val="Footer"/>
    <w:uiPriority w:val="99"/>
    <w:rsid w:val="000E3EF1"/>
    <w:rPr>
      <w:sz w:val="28"/>
      <w:szCs w:val="28"/>
    </w:rPr>
  </w:style>
  <w:style w:type="character" w:styleId="PageNumber">
    <w:name w:val="page number"/>
    <w:basedOn w:val="DefaultParagraphFont"/>
    <w:rsid w:val="00983002"/>
  </w:style>
  <w:style w:type="paragraph" w:styleId="BalloonText">
    <w:name w:val="Balloon Text"/>
    <w:basedOn w:val="Normal"/>
    <w:semiHidden/>
    <w:rsid w:val="00806C25"/>
    <w:rPr>
      <w:rFonts w:ascii="Tahoma" w:hAnsi="Tahoma" w:cs="Tahoma"/>
      <w:sz w:val="16"/>
      <w:szCs w:val="16"/>
    </w:rPr>
  </w:style>
  <w:style w:type="table" w:styleId="TableGrid">
    <w:name w:val="Table Grid"/>
    <w:basedOn w:val="TableNormal"/>
    <w:rsid w:val="007C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5200C8"/>
    <w:rPr>
      <w:sz w:val="28"/>
      <w:szCs w:val="28"/>
    </w:rPr>
  </w:style>
  <w:style w:type="character" w:customStyle="1" w:styleId="Bodytext2">
    <w:name w:val="Body text (2)_"/>
    <w:link w:val="Bodytext20"/>
    <w:uiPriority w:val="99"/>
    <w:locked/>
    <w:rsid w:val="00AD10EC"/>
    <w:rPr>
      <w:sz w:val="28"/>
      <w:szCs w:val="28"/>
      <w:lang w:bidi="ar-SA"/>
    </w:rPr>
  </w:style>
  <w:style w:type="paragraph" w:customStyle="1" w:styleId="Bodytext20">
    <w:name w:val="Body text (2)"/>
    <w:basedOn w:val="Normal"/>
    <w:link w:val="Bodytext2"/>
    <w:uiPriority w:val="99"/>
    <w:rsid w:val="00AD10EC"/>
    <w:pPr>
      <w:widowControl w:val="0"/>
      <w:shd w:val="clear" w:color="auto" w:fill="FFFFFF"/>
      <w:spacing w:after="660" w:line="317" w:lineRule="exact"/>
      <w:jc w:val="center"/>
    </w:pPr>
    <w:rPr>
      <w:lang w:val="x-none" w:eastAsia="x-none"/>
    </w:rPr>
  </w:style>
  <w:style w:type="character" w:customStyle="1" w:styleId="Bodytext2Corbel">
    <w:name w:val="Body text (2) + Corbel"/>
    <w:aliases w:val="13 pt"/>
    <w:rsid w:val="002C6398"/>
    <w:rPr>
      <w:rFonts w:ascii="Corbel" w:hAnsi="Corbel" w:cs="Corbel"/>
      <w:sz w:val="26"/>
      <w:szCs w:val="26"/>
      <w:u w:val="none"/>
      <w:lang w:bidi="ar-SA"/>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r,Char Char Cha,표준 (웹)"/>
    <w:basedOn w:val="Normal"/>
    <w:link w:val="NormalWebChar"/>
    <w:uiPriority w:val="99"/>
    <w:qFormat/>
    <w:rsid w:val="003B0BC1"/>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3B0BC1"/>
    <w:rPr>
      <w:sz w:val="24"/>
      <w:szCs w:val="24"/>
    </w:rPr>
  </w:style>
  <w:style w:type="character" w:customStyle="1" w:styleId="fontstyle01">
    <w:name w:val="fontstyle01"/>
    <w:rsid w:val="00CA72AC"/>
    <w:rPr>
      <w:rFonts w:ascii="Times New Roman" w:hAnsi="Times New Roman" w:cs="Times New Roman" w:hint="default"/>
      <w:b w:val="0"/>
      <w:bCs w:val="0"/>
      <w:i w:val="0"/>
      <w:iCs w:val="0"/>
      <w:color w:val="000000"/>
      <w:sz w:val="28"/>
      <w:szCs w:val="28"/>
    </w:rPr>
  </w:style>
  <w:style w:type="character" w:styleId="CommentReference">
    <w:name w:val="annotation reference"/>
    <w:rsid w:val="0069711B"/>
    <w:rPr>
      <w:sz w:val="16"/>
      <w:szCs w:val="16"/>
    </w:rPr>
  </w:style>
  <w:style w:type="paragraph" w:styleId="CommentText">
    <w:name w:val="annotation text"/>
    <w:basedOn w:val="Normal"/>
    <w:link w:val="CommentTextChar"/>
    <w:rsid w:val="0069711B"/>
    <w:rPr>
      <w:sz w:val="20"/>
      <w:szCs w:val="20"/>
    </w:rPr>
  </w:style>
  <w:style w:type="character" w:customStyle="1" w:styleId="CommentTextChar">
    <w:name w:val="Comment Text Char"/>
    <w:link w:val="CommentText"/>
    <w:rsid w:val="0069711B"/>
    <w:rPr>
      <w:noProof/>
    </w:rPr>
  </w:style>
  <w:style w:type="paragraph" w:styleId="CommentSubject">
    <w:name w:val="annotation subject"/>
    <w:basedOn w:val="CommentText"/>
    <w:next w:val="CommentText"/>
    <w:link w:val="CommentSubjectChar"/>
    <w:rsid w:val="0069711B"/>
    <w:rPr>
      <w:b/>
      <w:bCs/>
    </w:rPr>
  </w:style>
  <w:style w:type="character" w:customStyle="1" w:styleId="CommentSubjectChar">
    <w:name w:val="Comment Subject Char"/>
    <w:link w:val="CommentSubject"/>
    <w:rsid w:val="0069711B"/>
    <w:rPr>
      <w:b/>
      <w:bCs/>
      <w:noProof/>
    </w:rPr>
  </w:style>
  <w:style w:type="character" w:customStyle="1" w:styleId="Heading5Char">
    <w:name w:val="Heading 5 Char"/>
    <w:link w:val="Heading5"/>
    <w:uiPriority w:val="9"/>
    <w:qFormat/>
    <w:rsid w:val="004A4FA7"/>
    <w:rPr>
      <w:rFonts w:ascii=".VnTime" w:hAnsi=".VnTime"/>
      <w:sz w:val="28"/>
    </w:rPr>
  </w:style>
  <w:style w:type="character" w:customStyle="1" w:styleId="apple-converted-space">
    <w:name w:val="apple-converted-space"/>
    <w:rsid w:val="004A4FA7"/>
  </w:style>
  <w:style w:type="paragraph" w:styleId="BodyText">
    <w:name w:val="Body Text"/>
    <w:basedOn w:val="Normal"/>
    <w:link w:val="BodyTextChar"/>
    <w:uiPriority w:val="99"/>
    <w:rsid w:val="004A4FA7"/>
    <w:pPr>
      <w:spacing w:after="120"/>
    </w:pPr>
    <w:rPr>
      <w:rFonts w:eastAsia="SimSun"/>
      <w:noProof w:val="0"/>
    </w:rPr>
  </w:style>
  <w:style w:type="character" w:customStyle="1" w:styleId="BodyTextChar">
    <w:name w:val="Body Text Char"/>
    <w:link w:val="BodyText"/>
    <w:uiPriority w:val="99"/>
    <w:rsid w:val="004A4FA7"/>
    <w:rPr>
      <w:rFonts w:eastAsia="SimSun"/>
      <w:sz w:val="28"/>
      <w:szCs w:val="28"/>
    </w:rPr>
  </w:style>
  <w:style w:type="paragraph" w:styleId="ListParagraph">
    <w:name w:val="List Paragraph"/>
    <w:basedOn w:val="Normal"/>
    <w:uiPriority w:val="1"/>
    <w:qFormat/>
    <w:rsid w:val="004A4FA7"/>
    <w:pPr>
      <w:ind w:left="720"/>
      <w:contextualSpacing/>
    </w:pPr>
    <w:rPr>
      <w:rFonts w:eastAsia="SimSu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9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UBND TỈNH AN GIANG</vt:lpstr>
    </vt:vector>
  </TitlesOfParts>
  <Company>Microsoft</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AN GIANG</dc:title>
  <dc:subject/>
  <dc:creator>Customer</dc:creator>
  <cp:keywords/>
  <cp:lastModifiedBy>Thái Bình La</cp:lastModifiedBy>
  <cp:revision>27</cp:revision>
  <cp:lastPrinted>2024-11-12T02:46:00Z</cp:lastPrinted>
  <dcterms:created xsi:type="dcterms:W3CDTF">2025-11-11T01:40:00Z</dcterms:created>
  <dcterms:modified xsi:type="dcterms:W3CDTF">2026-05-01T05:46:00Z</dcterms:modified>
</cp:coreProperties>
</file>