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68" w:type="dxa"/>
        <w:jc w:val="center"/>
        <w:tblLook w:val="01E0" w:firstRow="1" w:lastRow="1" w:firstColumn="1" w:lastColumn="1" w:noHBand="0" w:noVBand="0"/>
      </w:tblPr>
      <w:tblGrid>
        <w:gridCol w:w="4536"/>
        <w:gridCol w:w="5232"/>
      </w:tblGrid>
      <w:tr w:rsidR="006A448D" w:rsidRPr="006A448D" w14:paraId="435E2FAD" w14:textId="77777777" w:rsidTr="00C318B7">
        <w:trPr>
          <w:jc w:val="center"/>
        </w:trPr>
        <w:tc>
          <w:tcPr>
            <w:tcW w:w="4536" w:type="dxa"/>
            <w:shd w:val="clear" w:color="auto" w:fill="auto"/>
          </w:tcPr>
          <w:p w14:paraId="74660D12" w14:textId="2A40B229" w:rsidR="002103D5" w:rsidRPr="006A448D" w:rsidRDefault="00CD6221" w:rsidP="00C318B7">
            <w:pPr>
              <w:jc w:val="center"/>
              <w:rPr>
                <w:color w:val="auto"/>
                <w:sz w:val="24"/>
                <w:lang w:val="vi-VN"/>
              </w:rPr>
            </w:pPr>
            <w:r w:rsidRPr="006A448D">
              <w:rPr>
                <w:b/>
                <w:bCs/>
                <w:color w:val="auto"/>
                <w:sz w:val="24"/>
              </w:rPr>
              <w:t>UỶ BAN NHÂN DÂN</w:t>
            </w:r>
          </w:p>
          <w:p w14:paraId="0A105DE2" w14:textId="0F388C92" w:rsidR="002103D5" w:rsidRPr="006A448D" w:rsidRDefault="00CD6221" w:rsidP="00C318B7">
            <w:pPr>
              <w:jc w:val="center"/>
              <w:rPr>
                <w:b/>
                <w:color w:val="auto"/>
                <w:sz w:val="24"/>
                <w:lang w:val="vi-VN"/>
              </w:rPr>
            </w:pPr>
            <w:r w:rsidRPr="006A448D">
              <w:rPr>
                <w:b/>
                <w:bCs/>
                <w:color w:val="auto"/>
                <w:sz w:val="24"/>
              </w:rPr>
              <w:t>TỈNH AN GIANG</w:t>
            </w:r>
          </w:p>
          <w:p w14:paraId="30EE61C6" w14:textId="77777777" w:rsidR="002103D5" w:rsidRPr="006A448D" w:rsidRDefault="002103D5" w:rsidP="00C318B7">
            <w:pPr>
              <w:jc w:val="center"/>
              <w:rPr>
                <w:color w:val="auto"/>
                <w:sz w:val="20"/>
                <w:lang w:val="vi-VN"/>
              </w:rPr>
            </w:pPr>
            <w:r w:rsidRPr="006A448D">
              <w:rPr>
                <w:noProof/>
                <w:color w:val="auto"/>
                <w:lang w:val="vi-VN" w:eastAsia="vi-VN"/>
              </w:rPr>
              <mc:AlternateContent>
                <mc:Choice Requires="wps">
                  <w:drawing>
                    <wp:anchor distT="0" distB="0" distL="114300" distR="114300" simplePos="0" relativeHeight="251661312" behindDoc="0" locked="0" layoutInCell="1" allowOverlap="1" wp14:anchorId="4D25E666" wp14:editId="1073C316">
                      <wp:simplePos x="0" y="0"/>
                      <wp:positionH relativeFrom="column">
                        <wp:posOffset>871220</wp:posOffset>
                      </wp:positionH>
                      <wp:positionV relativeFrom="paragraph">
                        <wp:posOffset>33020</wp:posOffset>
                      </wp:positionV>
                      <wp:extent cx="977900" cy="0"/>
                      <wp:effectExtent l="0" t="0" r="0" b="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1E68F8E" id="Line 1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6pt,2.6pt" to="145.6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"/>
                  </w:pict>
                </mc:Fallback>
              </mc:AlternateContent>
            </w:r>
          </w:p>
          <w:p w14:paraId="4429A506" w14:textId="119689C0" w:rsidR="002103D5" w:rsidRPr="006A448D" w:rsidRDefault="002103D5" w:rsidP="00C318B7">
            <w:pPr>
              <w:jc w:val="center"/>
              <w:rPr>
                <w:color w:val="auto"/>
              </w:rPr>
            </w:pPr>
            <w:r w:rsidRPr="006A448D">
              <w:rPr>
                <w:color w:val="auto"/>
                <w:sz w:val="26"/>
              </w:rPr>
              <w:t>Số:         /</w:t>
            </w:r>
            <w:r w:rsidR="00CD6221" w:rsidRPr="006A448D">
              <w:rPr>
                <w:color w:val="auto"/>
                <w:sz w:val="26"/>
              </w:rPr>
              <w:t xml:space="preserve"> TTr-UBND</w:t>
            </w:r>
          </w:p>
        </w:tc>
        <w:tc>
          <w:tcPr>
            <w:tcW w:w="5232" w:type="dxa"/>
            <w:shd w:val="clear" w:color="auto" w:fill="auto"/>
          </w:tcPr>
          <w:p w14:paraId="0CACA496" w14:textId="77777777" w:rsidR="002103D5" w:rsidRPr="006A448D" w:rsidRDefault="002103D5" w:rsidP="00C318B7">
            <w:pPr>
              <w:jc w:val="center"/>
              <w:rPr>
                <w:b/>
                <w:color w:val="auto"/>
                <w:sz w:val="24"/>
                <w:lang w:val="vi-VN"/>
              </w:rPr>
            </w:pPr>
            <w:r w:rsidRPr="006A448D">
              <w:rPr>
                <w:b/>
                <w:color w:val="auto"/>
                <w:sz w:val="24"/>
                <w:lang w:val="vi-VN"/>
              </w:rPr>
              <w:t>CỘNG HÒA XÃ HỘI CHỦ NGHĨA VIỆT NAM</w:t>
            </w:r>
          </w:p>
          <w:p w14:paraId="5632B3F5" w14:textId="77777777" w:rsidR="002103D5" w:rsidRPr="006A448D" w:rsidRDefault="002103D5" w:rsidP="00C318B7">
            <w:pPr>
              <w:jc w:val="center"/>
              <w:rPr>
                <w:b/>
                <w:color w:val="auto"/>
                <w:sz w:val="26"/>
                <w:szCs w:val="26"/>
                <w:lang w:val="vi-VN"/>
              </w:rPr>
            </w:pPr>
            <w:r w:rsidRPr="006A448D">
              <w:rPr>
                <w:b/>
                <w:color w:val="auto"/>
                <w:sz w:val="26"/>
                <w:szCs w:val="26"/>
                <w:lang w:val="vi-VN"/>
              </w:rPr>
              <w:t>Độc lập - Tự do - Hạnh phúc</w:t>
            </w:r>
          </w:p>
          <w:p w14:paraId="722E90F2" w14:textId="77777777" w:rsidR="002103D5" w:rsidRPr="006A448D" w:rsidRDefault="002103D5" w:rsidP="00C318B7">
            <w:pPr>
              <w:jc w:val="center"/>
              <w:rPr>
                <w:color w:val="auto"/>
                <w:sz w:val="20"/>
                <w:lang w:val="vi-VN"/>
              </w:rPr>
            </w:pPr>
            <w:r w:rsidRPr="006A448D">
              <w:rPr>
                <w:b/>
                <w:noProof/>
                <w:color w:val="auto"/>
                <w:sz w:val="18"/>
                <w:szCs w:val="26"/>
                <w:lang w:val="vi-VN" w:eastAsia="vi-VN"/>
              </w:rPr>
              <mc:AlternateContent>
                <mc:Choice Requires="wps">
                  <w:drawing>
                    <wp:anchor distT="0" distB="0" distL="114300" distR="114300" simplePos="0" relativeHeight="251660288" behindDoc="0" locked="0" layoutInCell="1" allowOverlap="1" wp14:anchorId="4B1F7A8D" wp14:editId="11AD451F">
                      <wp:simplePos x="0" y="0"/>
                      <wp:positionH relativeFrom="column">
                        <wp:posOffset>593564</wp:posOffset>
                      </wp:positionH>
                      <wp:positionV relativeFrom="paragraph">
                        <wp:posOffset>36195</wp:posOffset>
                      </wp:positionV>
                      <wp:extent cx="2019300" cy="0"/>
                      <wp:effectExtent l="0" t="0" r="0" b="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01193B" id="Line 1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5pt,2.85pt" to="205.7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"/>
                  </w:pict>
                </mc:Fallback>
              </mc:AlternateContent>
            </w:r>
          </w:p>
          <w:p w14:paraId="7F7B9709" w14:textId="2EB09DA1" w:rsidR="002103D5" w:rsidRPr="006A448D" w:rsidRDefault="002103D5" w:rsidP="00C318B7">
            <w:pPr>
              <w:jc w:val="center"/>
              <w:rPr>
                <w:color w:val="auto"/>
              </w:rPr>
            </w:pPr>
            <w:r w:rsidRPr="006A448D">
              <w:rPr>
                <w:i/>
                <w:color w:val="auto"/>
                <w:sz w:val="26"/>
              </w:rPr>
              <w:t>An</w:t>
            </w:r>
            <w:r w:rsidRPr="006A448D">
              <w:rPr>
                <w:i/>
                <w:color w:val="auto"/>
                <w:sz w:val="26"/>
                <w:lang w:val="vi-VN"/>
              </w:rPr>
              <w:t xml:space="preserve"> Giang, ngày  </w:t>
            </w:r>
            <w:r w:rsidRPr="006A448D">
              <w:rPr>
                <w:i/>
                <w:color w:val="auto"/>
                <w:sz w:val="26"/>
              </w:rPr>
              <w:t xml:space="preserve"> </w:t>
            </w:r>
            <w:r w:rsidRPr="006A448D">
              <w:rPr>
                <w:i/>
                <w:color w:val="auto"/>
                <w:sz w:val="26"/>
                <w:lang w:val="vi-VN"/>
              </w:rPr>
              <w:t xml:space="preserve">    tháng</w:t>
            </w:r>
            <w:r w:rsidRPr="006A448D">
              <w:rPr>
                <w:i/>
                <w:color w:val="auto"/>
                <w:sz w:val="26"/>
              </w:rPr>
              <w:t xml:space="preserve"> </w:t>
            </w:r>
            <w:r w:rsidRPr="006A448D">
              <w:rPr>
                <w:i/>
                <w:color w:val="auto"/>
                <w:sz w:val="26"/>
                <w:lang w:val="vi-VN"/>
              </w:rPr>
              <w:t xml:space="preserve">      năm 20</w:t>
            </w:r>
            <w:r w:rsidRPr="006A448D">
              <w:rPr>
                <w:i/>
                <w:color w:val="auto"/>
                <w:sz w:val="26"/>
              </w:rPr>
              <w:t>2</w:t>
            </w:r>
            <w:r w:rsidR="001F3085" w:rsidRPr="006A448D">
              <w:rPr>
                <w:i/>
                <w:color w:val="auto"/>
                <w:sz w:val="26"/>
              </w:rPr>
              <w:t>6</w:t>
            </w:r>
          </w:p>
        </w:tc>
      </w:tr>
    </w:tbl>
    <w:p w14:paraId="0F57DFFC" w14:textId="5300B542" w:rsidR="002103D5" w:rsidRPr="006A448D" w:rsidRDefault="009908BD" w:rsidP="009908BD">
      <w:pPr>
        <w:tabs>
          <w:tab w:val="center" w:pos="1843"/>
          <w:tab w:val="left" w:pos="1909"/>
          <w:tab w:val="right" w:pos="9057"/>
        </w:tabs>
        <w:rPr>
          <w:b/>
          <w:color w:val="auto"/>
        </w:rPr>
      </w:pPr>
      <w:r w:rsidRPr="006A448D">
        <w:rPr>
          <w:b/>
          <w:noProof/>
          <w:color w:val="auto"/>
          <w:lang w:val="vi-VN" w:eastAsia="vi-VN"/>
        </w:rPr>
        <mc:AlternateContent>
          <mc:Choice Requires="wps">
            <w:drawing>
              <wp:anchor distT="0" distB="0" distL="114300" distR="114300" simplePos="0" relativeHeight="251663360" behindDoc="0" locked="0" layoutInCell="1" allowOverlap="1" wp14:anchorId="0ACA899E" wp14:editId="52F04B4A">
                <wp:simplePos x="0" y="0"/>
                <wp:positionH relativeFrom="column">
                  <wp:posOffset>628015</wp:posOffset>
                </wp:positionH>
                <wp:positionV relativeFrom="paragraph">
                  <wp:posOffset>98425</wp:posOffset>
                </wp:positionV>
                <wp:extent cx="1095375" cy="323850"/>
                <wp:effectExtent l="0" t="0" r="28575"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323850"/>
                        </a:xfrm>
                        <a:prstGeom prst="rect">
                          <a:avLst/>
                        </a:prstGeom>
                        <a:solidFill>
                          <a:srgbClr val="FFFFFF"/>
                        </a:solidFill>
                        <a:ln w="9525">
                          <a:solidFill>
                            <a:srgbClr val="000000"/>
                          </a:solidFill>
                          <a:miter lim="800000"/>
                          <a:headEnd/>
                          <a:tailEnd/>
                        </a:ln>
                      </wps:spPr>
                      <wps:txbx>
                        <w:txbxContent>
                          <w:p w14:paraId="64A785EA" w14:textId="4552AD3C" w:rsidR="00C318B7" w:rsidRPr="001F3085" w:rsidRDefault="00C318B7" w:rsidP="009908BD">
                            <w:pPr>
                              <w:spacing w:before="60" w:after="60"/>
                              <w:jc w:val="center"/>
                              <w:rPr>
                                <w:bCs/>
                                <w:color w:val="auto"/>
                                <w:sz w:val="26"/>
                                <w:szCs w:val="26"/>
                              </w:rPr>
                            </w:pPr>
                            <w:r w:rsidRPr="001F3085">
                              <w:rPr>
                                <w:bCs/>
                                <w:color w:val="auto"/>
                                <w:sz w:val="26"/>
                                <w:szCs w:val="26"/>
                              </w:rPr>
                              <w:t>D</w:t>
                            </w:r>
                            <w:r w:rsidR="001F3085">
                              <w:rPr>
                                <w:bCs/>
                                <w:color w:val="auto"/>
                                <w:sz w:val="26"/>
                                <w:szCs w:val="26"/>
                              </w:rPr>
                              <w:t>Ự</w:t>
                            </w:r>
                            <w:r w:rsidRPr="001F3085">
                              <w:rPr>
                                <w:bCs/>
                                <w:color w:val="auto"/>
                                <w:sz w:val="26"/>
                                <w:szCs w:val="26"/>
                              </w:rPr>
                              <w:t xml:space="preserve">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CA899E" id="Rectangle 7" o:spid="_x0000_s1026" style="position:absolute;margin-left:49.45pt;margin-top:7.75pt;width:86.2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">
                <v:textbox>
                  <w:txbxContent>
                    <w:p w14:paraId="64A785EA" w14:textId="4552AD3C" w:rsidR="00C318B7" w:rsidRPr="001F3085" w:rsidRDefault="00C318B7" w:rsidP="009908BD">
                      <w:pPr>
                        <w:spacing w:before="60" w:after="60"/>
                        <w:jc w:val="center"/>
                        <w:rPr>
                          <w:bCs/>
                          <w:color w:val="auto"/>
                          <w:sz w:val="26"/>
                          <w:szCs w:val="26"/>
                        </w:rPr>
                      </w:pPr>
                      <w:r w:rsidRPr="001F3085">
                        <w:rPr>
                          <w:bCs/>
                          <w:color w:val="auto"/>
                          <w:sz w:val="26"/>
                          <w:szCs w:val="26"/>
                        </w:rPr>
                        <w:t>D</w:t>
                      </w:r>
                      <w:r w:rsidR="001F3085">
                        <w:rPr>
                          <w:bCs/>
                          <w:color w:val="auto"/>
                          <w:sz w:val="26"/>
                          <w:szCs w:val="26"/>
                        </w:rPr>
                        <w:t>Ự</w:t>
                      </w:r>
                      <w:r w:rsidRPr="001F3085">
                        <w:rPr>
                          <w:bCs/>
                          <w:color w:val="auto"/>
                          <w:sz w:val="26"/>
                          <w:szCs w:val="26"/>
                        </w:rPr>
                        <w:t xml:space="preserve"> THẢO</w:t>
                      </w:r>
                    </w:p>
                  </w:txbxContent>
                </v:textbox>
              </v:rect>
            </w:pict>
          </mc:Fallback>
        </mc:AlternateContent>
      </w:r>
      <w:r w:rsidRPr="006A448D">
        <w:rPr>
          <w:b/>
          <w:color w:val="auto"/>
        </w:rPr>
        <w:tab/>
      </w:r>
      <w:r w:rsidRPr="006A448D">
        <w:rPr>
          <w:b/>
          <w:color w:val="auto"/>
        </w:rPr>
        <w:tab/>
      </w:r>
    </w:p>
    <w:p w14:paraId="19CE9C5C" w14:textId="2E74D449" w:rsidR="009908BD" w:rsidRPr="006A448D" w:rsidRDefault="009908BD" w:rsidP="00C6575C">
      <w:pPr>
        <w:tabs>
          <w:tab w:val="center" w:pos="1843"/>
          <w:tab w:val="right" w:pos="9057"/>
        </w:tabs>
        <w:jc w:val="center"/>
        <w:rPr>
          <w:b/>
          <w:color w:val="auto"/>
          <w:lang w:val="vi-VN"/>
        </w:rPr>
      </w:pPr>
    </w:p>
    <w:p w14:paraId="01B8FD5D" w14:textId="77777777" w:rsidR="00CD6221" w:rsidRPr="006A448D" w:rsidRDefault="00CD6221" w:rsidP="00CD6221">
      <w:pPr>
        <w:tabs>
          <w:tab w:val="center" w:pos="1843"/>
          <w:tab w:val="right" w:pos="9057"/>
        </w:tabs>
        <w:jc w:val="center"/>
        <w:rPr>
          <w:b/>
          <w:color w:val="auto"/>
          <w:lang w:val="vi-VN"/>
        </w:rPr>
      </w:pPr>
      <w:r w:rsidRPr="006A448D">
        <w:rPr>
          <w:b/>
          <w:color w:val="auto"/>
          <w:lang w:val="vi-VN"/>
        </w:rPr>
        <w:t>TỜ TRÌNH</w:t>
      </w:r>
    </w:p>
    <w:p w14:paraId="2434D18F" w14:textId="77777777" w:rsidR="007F3FDB" w:rsidRPr="006A448D" w:rsidRDefault="00AD3A73" w:rsidP="007F3FDB">
      <w:pPr>
        <w:tabs>
          <w:tab w:val="center" w:pos="1843"/>
          <w:tab w:val="right" w:pos="9057"/>
        </w:tabs>
        <w:jc w:val="center"/>
        <w:rPr>
          <w:b/>
          <w:color w:val="auto"/>
          <w:lang w:val="vi-VN"/>
        </w:rPr>
      </w:pPr>
      <w:bookmarkStart w:id="0" w:name="_Hlk227186610"/>
      <w:r w:rsidRPr="006A448D">
        <w:rPr>
          <w:b/>
          <w:color w:val="auto"/>
          <w:lang w:val="vi-VN"/>
        </w:rPr>
        <w:t>Dự thảo</w:t>
      </w:r>
      <w:r w:rsidR="00CD6221" w:rsidRPr="006A448D">
        <w:rPr>
          <w:b/>
          <w:color w:val="auto"/>
          <w:lang w:val="vi-VN"/>
        </w:rPr>
        <w:t xml:space="preserve"> </w:t>
      </w:r>
      <w:bookmarkEnd w:id="0"/>
      <w:r w:rsidR="007F3FDB" w:rsidRPr="006A448D">
        <w:rPr>
          <w:b/>
          <w:color w:val="auto"/>
          <w:lang w:val="vi-VN"/>
        </w:rPr>
        <w:t>Nghị quyết quy định mức thu, chế độ thu, nộp,</w:t>
      </w:r>
    </w:p>
    <w:p w14:paraId="3D2D8761" w14:textId="77777777" w:rsidR="007F3FDB" w:rsidRPr="006A448D" w:rsidRDefault="007F3FDB" w:rsidP="007F3FDB">
      <w:pPr>
        <w:tabs>
          <w:tab w:val="center" w:pos="1843"/>
          <w:tab w:val="right" w:pos="9057"/>
        </w:tabs>
        <w:jc w:val="center"/>
        <w:rPr>
          <w:b/>
          <w:color w:val="auto"/>
          <w:lang w:val="vi-VN"/>
        </w:rPr>
      </w:pPr>
      <w:r w:rsidRPr="006A448D">
        <w:rPr>
          <w:b/>
          <w:color w:val="auto"/>
          <w:lang w:val="vi-VN"/>
        </w:rPr>
        <w:t>quản lý và sử dụng phí cung cấp thông tin về giao dịch bảo đảm bằng</w:t>
      </w:r>
    </w:p>
    <w:p w14:paraId="60BA827B" w14:textId="77777777" w:rsidR="007F3FDB" w:rsidRPr="006A448D" w:rsidRDefault="007F3FDB" w:rsidP="007F3FDB">
      <w:pPr>
        <w:tabs>
          <w:tab w:val="center" w:pos="1843"/>
          <w:tab w:val="right" w:pos="9057"/>
        </w:tabs>
        <w:jc w:val="center"/>
        <w:rPr>
          <w:b/>
          <w:color w:val="auto"/>
          <w:lang w:val="vi-VN"/>
        </w:rPr>
      </w:pPr>
      <w:r w:rsidRPr="006A448D">
        <w:rPr>
          <w:b/>
          <w:color w:val="auto"/>
          <w:lang w:val="vi-VN"/>
        </w:rPr>
        <w:t>quyền sử dụng đất, quyền sở hữu tài sản gắn liền với đất</w:t>
      </w:r>
    </w:p>
    <w:p w14:paraId="06104D13" w14:textId="6E2CA3DD" w:rsidR="002103D5" w:rsidRPr="006A448D" w:rsidRDefault="007F3FDB" w:rsidP="007F3FDB">
      <w:pPr>
        <w:tabs>
          <w:tab w:val="center" w:pos="1843"/>
          <w:tab w:val="right" w:pos="9057"/>
        </w:tabs>
        <w:jc w:val="center"/>
        <w:rPr>
          <w:b/>
          <w:color w:val="auto"/>
          <w:lang w:val="vi-VN"/>
        </w:rPr>
      </w:pPr>
      <w:r w:rsidRPr="006A448D">
        <w:rPr>
          <w:b/>
          <w:color w:val="auto"/>
          <w:lang w:val="vi-VN"/>
        </w:rPr>
        <w:t>trên địa bàn tỉnh An Giang</w:t>
      </w:r>
      <w:r w:rsidR="002103D5" w:rsidRPr="006A448D">
        <w:rPr>
          <w:b/>
          <w:color w:val="auto"/>
          <w:lang w:val="vi-VN"/>
        </w:rPr>
        <w:t xml:space="preserve"> </w:t>
      </w:r>
    </w:p>
    <w:p w14:paraId="14DE5897" w14:textId="685003E1" w:rsidR="002103D5" w:rsidRPr="006A448D" w:rsidRDefault="002103D5" w:rsidP="002103D5">
      <w:pPr>
        <w:spacing w:before="120" w:after="120"/>
        <w:ind w:firstLine="720"/>
        <w:jc w:val="center"/>
        <w:rPr>
          <w:color w:val="auto"/>
          <w:lang w:val="vi-VN"/>
        </w:rPr>
      </w:pPr>
      <w:r w:rsidRPr="006A448D">
        <w:rPr>
          <w:b/>
          <w:noProof/>
          <w:color w:val="auto"/>
          <w:sz w:val="24"/>
          <w:lang w:val="vi-VN" w:eastAsia="vi-VN"/>
        </w:rPr>
        <mc:AlternateContent>
          <mc:Choice Requires="wps">
            <w:drawing>
              <wp:anchor distT="0" distB="0" distL="114300" distR="114300" simplePos="0" relativeHeight="251659264" behindDoc="0" locked="0" layoutInCell="1" allowOverlap="1" wp14:anchorId="3F417E31" wp14:editId="70C40329">
                <wp:simplePos x="0" y="0"/>
                <wp:positionH relativeFrom="column">
                  <wp:posOffset>2658745</wp:posOffset>
                </wp:positionH>
                <wp:positionV relativeFrom="paragraph">
                  <wp:posOffset>13335</wp:posOffset>
                </wp:positionV>
                <wp:extent cx="1026795" cy="0"/>
                <wp:effectExtent l="0" t="0" r="0" b="0"/>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6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175C51" id="Line 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35pt,1.05pt" to="290.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"/>
            </w:pict>
          </mc:Fallback>
        </mc:AlternateContent>
      </w:r>
    </w:p>
    <w:p w14:paraId="3A698262" w14:textId="3CC7F624" w:rsidR="002103D5" w:rsidRPr="006A448D" w:rsidRDefault="00CD6221" w:rsidP="00B91DC4">
      <w:pPr>
        <w:ind w:left="720" w:hanging="11"/>
        <w:jc w:val="center"/>
        <w:rPr>
          <w:color w:val="auto"/>
          <w:lang w:val="vi-VN"/>
        </w:rPr>
      </w:pPr>
      <w:r w:rsidRPr="006A448D">
        <w:rPr>
          <w:color w:val="auto"/>
          <w:lang w:val="vi-VN"/>
        </w:rPr>
        <w:t>Kính gửi: Hội đồng nhân dân tỉnh</w:t>
      </w:r>
    </w:p>
    <w:p w14:paraId="61771675" w14:textId="77777777" w:rsidR="002103D5" w:rsidRPr="006A448D" w:rsidRDefault="002103D5" w:rsidP="002103D5">
      <w:pPr>
        <w:ind w:left="3080" w:hanging="10"/>
        <w:rPr>
          <w:color w:val="auto"/>
          <w:lang w:val="vi-VN"/>
        </w:rPr>
      </w:pPr>
    </w:p>
    <w:p w14:paraId="2BC8BD5C" w14:textId="5DDF7244" w:rsidR="00CD6221" w:rsidRPr="006A448D" w:rsidRDefault="00CD6221" w:rsidP="00AD3A73">
      <w:pPr>
        <w:spacing w:before="40" w:after="40"/>
        <w:ind w:firstLine="720"/>
        <w:jc w:val="both"/>
        <w:rPr>
          <w:iCs/>
          <w:color w:val="auto"/>
          <w:lang w:val="vi-VN"/>
        </w:rPr>
      </w:pPr>
      <w:r w:rsidRPr="006A448D">
        <w:rPr>
          <w:iCs/>
          <w:color w:val="auto"/>
          <w:lang w:val="vi-VN"/>
        </w:rPr>
        <w:t>Thực hiện quy định của Luật Ban hành văn bản quy phạm pháp luật ngày 19/02/2025 (được sửa đổi, bổ sung ngày 25/6/2025), Ủy ban nhân dân tỉnh</w:t>
      </w:r>
      <w:r w:rsidR="00AD3A73" w:rsidRPr="006A448D">
        <w:rPr>
          <w:iCs/>
          <w:color w:val="auto"/>
          <w:lang w:val="vi-VN"/>
        </w:rPr>
        <w:t xml:space="preserve"> </w:t>
      </w:r>
      <w:r w:rsidR="007B1924">
        <w:rPr>
          <w:iCs/>
          <w:color w:val="auto"/>
          <w:lang w:val="vi-VN"/>
        </w:rPr>
        <w:t xml:space="preserve">kính trình </w:t>
      </w:r>
      <w:r w:rsidRPr="006A448D">
        <w:rPr>
          <w:iCs/>
          <w:color w:val="auto"/>
          <w:lang w:val="vi-VN"/>
        </w:rPr>
        <w:t xml:space="preserve">Hội đồng nhân dân tỉnh </w:t>
      </w:r>
      <w:r w:rsidR="00AD3A73" w:rsidRPr="006A448D">
        <w:rPr>
          <w:iCs/>
          <w:color w:val="auto"/>
          <w:lang w:val="vi-VN"/>
        </w:rPr>
        <w:t xml:space="preserve">dự thảo </w:t>
      </w:r>
      <w:r w:rsidR="007F3FDB" w:rsidRPr="006A448D">
        <w:rPr>
          <w:iCs/>
          <w:color w:val="auto"/>
          <w:lang w:val="vi-VN"/>
        </w:rPr>
        <w:t>Nghị quyết quy định mức thu, chế độ thu, nộp, quản lý và sử dụng phí cung cấp thông tin về giao dịch bảo đảm bằng quyền sử dụng đất, quyền sở hữu tài sản gắn liền với đất trên địa bàn tỉnh An Giang</w:t>
      </w:r>
      <w:r w:rsidRPr="006A448D">
        <w:rPr>
          <w:iCs/>
          <w:color w:val="auto"/>
          <w:lang w:val="vi-VN"/>
        </w:rPr>
        <w:t xml:space="preserve"> như sau:</w:t>
      </w:r>
    </w:p>
    <w:p w14:paraId="4F153508" w14:textId="77777777" w:rsidR="00CD6221" w:rsidRPr="006A448D" w:rsidRDefault="00CD6221" w:rsidP="00CD6221">
      <w:pPr>
        <w:spacing w:before="40" w:after="40"/>
        <w:ind w:firstLine="720"/>
        <w:jc w:val="both"/>
        <w:rPr>
          <w:b/>
          <w:bCs/>
          <w:color w:val="auto"/>
          <w:lang w:val="vi-VN"/>
        </w:rPr>
      </w:pPr>
      <w:r w:rsidRPr="006A448D">
        <w:rPr>
          <w:b/>
          <w:bCs/>
          <w:color w:val="auto"/>
          <w:lang w:val="vi-VN"/>
        </w:rPr>
        <w:t>I. SỰ CẦN THIẾT BAN HÀNH NGHỊ QUYẾT</w:t>
      </w:r>
    </w:p>
    <w:p w14:paraId="7BA06019" w14:textId="77777777" w:rsidR="00CD6221" w:rsidRPr="006A448D" w:rsidRDefault="00CD6221" w:rsidP="00CD6221">
      <w:pPr>
        <w:spacing w:before="40" w:after="40"/>
        <w:ind w:firstLine="720"/>
        <w:jc w:val="both"/>
        <w:rPr>
          <w:b/>
          <w:color w:val="auto"/>
          <w:lang w:val="vi-VN"/>
        </w:rPr>
      </w:pPr>
      <w:r w:rsidRPr="006A448D">
        <w:rPr>
          <w:b/>
          <w:color w:val="auto"/>
          <w:lang w:val="vi-VN"/>
        </w:rPr>
        <w:t>1. Cơ sở pháp lý</w:t>
      </w:r>
    </w:p>
    <w:p w14:paraId="0A188F7C" w14:textId="4B94E7F3" w:rsidR="00CD6221" w:rsidRPr="006A448D" w:rsidRDefault="003B6FA4" w:rsidP="00D93C23">
      <w:pPr>
        <w:spacing w:before="40" w:after="40"/>
        <w:ind w:firstLine="720"/>
        <w:jc w:val="both"/>
        <w:rPr>
          <w:iCs/>
          <w:color w:val="auto"/>
          <w:lang w:val="vi-VN"/>
        </w:rPr>
      </w:pPr>
      <w:bookmarkStart w:id="1" w:name="_Hlk203231334"/>
      <w:r w:rsidRPr="006A448D">
        <w:rPr>
          <w:iCs/>
          <w:color w:val="auto"/>
          <w:lang w:val="vi-VN"/>
        </w:rPr>
        <w:t>Hiện nay, việc thu phí cung cấp thông tin về giao dịch bảo đảm bằng quyền sử dụng đất, quyền sở hữu tài sản gắn liền với đất trên địa bàn tỉnh An Giang được thực hiện theo Nghị quyết số 05/2022/NQ-HĐND ngày 12/7/2022 của Hội đồng nhân dân tỉnh (gọi tắt Nghị quyết số 05/2022/NQ-HĐND).</w:t>
      </w:r>
    </w:p>
    <w:p w14:paraId="2440233F" w14:textId="42C4F53F" w:rsidR="003B6FA4" w:rsidRPr="006A448D" w:rsidRDefault="003B6FA4" w:rsidP="00D93C23">
      <w:pPr>
        <w:spacing w:before="40" w:after="40"/>
        <w:ind w:firstLine="720"/>
        <w:jc w:val="both"/>
        <w:rPr>
          <w:iCs/>
          <w:color w:val="auto"/>
          <w:lang w:val="vi-VN"/>
        </w:rPr>
      </w:pPr>
      <w:r w:rsidRPr="006A448D">
        <w:rPr>
          <w:iCs/>
          <w:color w:val="auto"/>
          <w:lang w:val="vi-VN"/>
        </w:rPr>
        <w:t>Nghị quyết số 05/2022/NQ-HĐND được xây dựng căn cứ trên các văn bản: (1) Luật Đất đai năm 2013; (2) Luật Tổ chức chính quyền địa phương năm 2015; (3) Nghị định số 102/2017/NĐ-CP ngày 01/9/2017 của Chính phủ quy định về đăng ký biện pháp bảo đảm; (4) Thông tư số 23/2014/TT-BTNMT ngày 19/5/2014 của Bộ Tài nguyên và Môi trường quy định về Giấy chứng nhận quyền sử dụng đất, quyền sở hữu nhà ở và tài sản khác gắn liền với đất; (5) Thông tư số 202/2016/TT-BTC ngày 09/11/2016 của Bộ trưởng Bộ Tài chính quy định mức thu, chế độ thu, nộp, quản lý và sử dụng phí trong lĩnh vực đăng ký giao dịch bảo đảm.</w:t>
      </w:r>
    </w:p>
    <w:p w14:paraId="19015AF0" w14:textId="41CD8F82" w:rsidR="003B6FA4" w:rsidRPr="006A448D" w:rsidRDefault="003B6FA4" w:rsidP="00D93C23">
      <w:pPr>
        <w:spacing w:before="40" w:after="40"/>
        <w:ind w:firstLine="720"/>
        <w:jc w:val="both"/>
        <w:rPr>
          <w:iCs/>
          <w:color w:val="auto"/>
          <w:lang w:val="vi-VN"/>
        </w:rPr>
      </w:pPr>
      <w:r w:rsidRPr="006A448D">
        <w:rPr>
          <w:iCs/>
          <w:color w:val="auto"/>
          <w:lang w:val="vi-VN"/>
        </w:rPr>
        <w:t xml:space="preserve">Tuy nhiên, năm (05) văn bản này hiện nay đã hết hiệu lực và được thay thế bằng văn </w:t>
      </w:r>
      <w:r w:rsidR="004464FD">
        <w:rPr>
          <w:iCs/>
          <w:color w:val="auto"/>
          <w:lang w:val="vi-VN"/>
        </w:rPr>
        <w:t xml:space="preserve">bản </w:t>
      </w:r>
      <w:r w:rsidRPr="006A448D">
        <w:rPr>
          <w:iCs/>
          <w:color w:val="auto"/>
          <w:lang w:val="vi-VN"/>
        </w:rPr>
        <w:t>khác, cụ thể: (1) Luật Đất đai năm 2024; (2) Luật Tổ chức chính quyền địa phương năm 2025; (3) Nghị định số 99/2022/NĐ-CP ngày 30/11/2022 của Chính phủ quy về đăng ký biện pháp bảo đảm; (4) Thông tư số 10/2024/TT-BTNMT ngày 31/7/2024 của Bộ trưởng Bộ Tài nguyên và Môi trường quy định về hồ sơ địa chính, Giấy chứng nhận quyền sử dụng đất, quyền sở hữu tài sản gắn liền với đất; (5) Thông tư số 61/2023/TT-BTNMT ngày 28/9/2023 của Bộ Tài nguyên và Môi trường quy định mức thu, chế độ thu, nộp, quản lý và sử dụng phí trong lĩnh vực đăng ký giao dịch bảo đảm.</w:t>
      </w:r>
    </w:p>
    <w:p w14:paraId="611268D1" w14:textId="2D1A212F" w:rsidR="003B6FA4" w:rsidRPr="006A448D" w:rsidRDefault="00B910AB" w:rsidP="00D93C23">
      <w:pPr>
        <w:spacing w:before="40" w:after="40"/>
        <w:ind w:firstLine="720"/>
        <w:jc w:val="both"/>
        <w:rPr>
          <w:iCs/>
          <w:color w:val="auto"/>
          <w:lang w:val="vi-VN"/>
        </w:rPr>
      </w:pPr>
      <w:r w:rsidRPr="006A448D">
        <w:rPr>
          <w:iCs/>
          <w:color w:val="auto"/>
          <w:lang w:val="vi-VN"/>
        </w:rPr>
        <w:lastRenderedPageBreak/>
        <w:t>Để đảm bảo việc tổ chức thực hiện thủ tục hành chính được thông suốt không bị gián đoạn, tạo điều kiện thuận lợi cho tổ chức, cá nhân trong việc thu, nộp lệ phí đồng bộ sau sắp xếp đơn vị hành chính, việc ban hành Nghị quyết quy định mức thu, chế độ thu, nộp, quản lý và sử dụng phí cung cấp thông tin về giao dịch bảo đảm bằng quyền sử dụng đất, quyền sở hữu tài sản gắn liền với đất trên địa bàn tỉnh An Giang là cần thiết.</w:t>
      </w:r>
    </w:p>
    <w:bookmarkEnd w:id="1"/>
    <w:p w14:paraId="64B96B92" w14:textId="77777777" w:rsidR="00CD6221" w:rsidRPr="006A448D" w:rsidRDefault="00CD6221" w:rsidP="00CD6221">
      <w:pPr>
        <w:spacing w:before="40" w:after="40"/>
        <w:ind w:firstLine="720"/>
        <w:jc w:val="both"/>
        <w:rPr>
          <w:b/>
          <w:bCs/>
          <w:color w:val="auto"/>
          <w:lang w:val="vi-VN"/>
        </w:rPr>
      </w:pPr>
      <w:r w:rsidRPr="006A448D">
        <w:rPr>
          <w:b/>
          <w:bCs/>
          <w:color w:val="auto"/>
          <w:lang w:val="nl-NL"/>
        </w:rPr>
        <w:t xml:space="preserve">2. </w:t>
      </w:r>
      <w:r w:rsidRPr="006A448D">
        <w:rPr>
          <w:b/>
          <w:bCs/>
          <w:iCs/>
          <w:color w:val="auto"/>
          <w:lang w:val="vi-VN"/>
        </w:rPr>
        <w:t>Cơ sở thực tiễn</w:t>
      </w:r>
    </w:p>
    <w:p w14:paraId="50A6F779" w14:textId="77777777" w:rsidR="005F3C72" w:rsidRPr="006A448D" w:rsidRDefault="005F3C72" w:rsidP="005F3C72">
      <w:pPr>
        <w:spacing w:before="40" w:after="40"/>
        <w:ind w:firstLine="720"/>
        <w:jc w:val="both"/>
        <w:rPr>
          <w:rFonts w:eastAsia="SimSun"/>
          <w:iCs/>
          <w:color w:val="auto"/>
          <w:lang w:val="nl-NL"/>
        </w:rPr>
      </w:pPr>
      <w:r w:rsidRPr="006A448D">
        <w:rPr>
          <w:rFonts w:eastAsia="SimSun"/>
          <w:iCs/>
          <w:color w:val="auto"/>
          <w:lang w:val="nl-NL"/>
        </w:rPr>
        <w:t>Ngày 12 tháng 6 năm 2025, Quốc hội đã thông qua Nghị quyết số 202/2025/QH15 về việc sắp xếp đơn vị hành chính cấp tỉnh, theo đó “23. Sắp xếp toàn bộ diện tích tự nhiên, quy mô dân số của tỉnh Kiên Giang và tỉnh An Giang thành tỉnh mới có tên gọi là tỉnh An Giang. Sau khi sắp xếp, tỉnh An Giang có diện tích tự nhiên là 9.888,91 km2, quy mô dân số là 4.952.238 người.”</w:t>
      </w:r>
    </w:p>
    <w:p w14:paraId="1193B031" w14:textId="3070CDA7" w:rsidR="00CD6221" w:rsidRPr="006A448D" w:rsidRDefault="005F3C72" w:rsidP="005F3C72">
      <w:pPr>
        <w:spacing w:before="40" w:after="40"/>
        <w:ind w:firstLine="720"/>
        <w:jc w:val="both"/>
        <w:rPr>
          <w:color w:val="auto"/>
          <w:spacing w:val="-4"/>
          <w:lang w:val="pt-BR"/>
        </w:rPr>
      </w:pPr>
      <w:r w:rsidRPr="006A448D">
        <w:rPr>
          <w:rFonts w:eastAsia="SimSun"/>
          <w:iCs/>
          <w:color w:val="auto"/>
          <w:lang w:val="nl-NL"/>
        </w:rPr>
        <w:t>Sau khi sáp nhập, Hội đồng nhân dân tỉnh An Giang ban hành Nghị quyết số 09/NQ-HĐNĐ ngày 01/7/2025 quy định áp dụng nghị quyết quy phạm pháp luật do Hội đồng nhân dân tỉnh An Giang, tỉnh Kiên Giang ban hành trước ngày 01/7/2025 thuộc lĩnh vực nông nghiệp và môi trường. Theo đó, Nghị quyết số 05/2022/NQ-HĐND ngày 12/7/2022 của Hội đồng nhân dân tỉnh An Giang quy định mức thu, chế độ thu, miễn, nộp, quản lý và sử dụng phí cung cấp thông tin về giao dịch bảo đảm bằng quyền sử dụng đất, tài sản gắn liền với đất trên địa bàn tỉnh An Giang tiếp tục được áp dụng trên phạm vi đơn vị hành chính tỉnh An Giang mới cho đến khi có văn bản thay thế hoặc bãi bỏ.</w:t>
      </w:r>
    </w:p>
    <w:p w14:paraId="7CD0A874" w14:textId="77777777" w:rsidR="00B91DC4" w:rsidRPr="006A448D" w:rsidRDefault="00B91DC4" w:rsidP="00B91DC4">
      <w:pPr>
        <w:spacing w:before="40" w:after="40"/>
        <w:ind w:firstLine="720"/>
        <w:jc w:val="both"/>
        <w:rPr>
          <w:b/>
          <w:bCs/>
          <w:color w:val="auto"/>
          <w:spacing w:val="-4"/>
          <w:lang w:val="vi-VN"/>
        </w:rPr>
      </w:pPr>
      <w:r w:rsidRPr="006A448D">
        <w:rPr>
          <w:b/>
          <w:bCs/>
          <w:color w:val="auto"/>
          <w:spacing w:val="-4"/>
          <w:lang w:val="vi-VN"/>
        </w:rPr>
        <w:t>II. MỤC ĐÍCH BAN HÀNH, QUAN ĐIỂM XÂY DỰNG NGHỊ QUYẾT</w:t>
      </w:r>
    </w:p>
    <w:p w14:paraId="6BDB55E3" w14:textId="77777777" w:rsidR="00B91DC4" w:rsidRPr="006A448D" w:rsidRDefault="00B91DC4" w:rsidP="00B91DC4">
      <w:pPr>
        <w:spacing w:before="40" w:after="40"/>
        <w:ind w:firstLine="720"/>
        <w:jc w:val="both"/>
        <w:rPr>
          <w:b/>
          <w:bCs/>
          <w:color w:val="auto"/>
          <w:spacing w:val="-4"/>
          <w:lang w:val="vi-VN"/>
        </w:rPr>
      </w:pPr>
      <w:r w:rsidRPr="006A448D">
        <w:rPr>
          <w:b/>
          <w:bCs/>
          <w:color w:val="auto"/>
          <w:spacing w:val="-4"/>
          <w:lang w:val="vi-VN"/>
        </w:rPr>
        <w:t xml:space="preserve">1. Mục đích ban hành văn bản </w:t>
      </w:r>
    </w:p>
    <w:p w14:paraId="587AC718" w14:textId="47A10325" w:rsidR="00B91DC4" w:rsidRPr="006A448D" w:rsidRDefault="00B91DC4" w:rsidP="00B91DC4">
      <w:pPr>
        <w:spacing w:before="40" w:after="40"/>
        <w:ind w:firstLine="720"/>
        <w:jc w:val="both"/>
        <w:rPr>
          <w:color w:val="auto"/>
          <w:spacing w:val="-4"/>
          <w:lang w:val="vi-VN"/>
        </w:rPr>
      </w:pPr>
      <w:r w:rsidRPr="006A448D">
        <w:rPr>
          <w:color w:val="auto"/>
          <w:spacing w:val="-4"/>
          <w:lang w:val="vi-VN"/>
        </w:rPr>
        <w:t>Thiết lập cơ sở pháp lý đầy đủ, đồng bộ, đảm bảo thống nhất, đúng quy định pháp luật.</w:t>
      </w:r>
    </w:p>
    <w:p w14:paraId="7934D7A1" w14:textId="561F3BAF" w:rsidR="00B91DC4" w:rsidRPr="006A448D" w:rsidRDefault="00B91DC4" w:rsidP="00B91DC4">
      <w:pPr>
        <w:spacing w:before="40" w:after="40"/>
        <w:ind w:firstLine="720"/>
        <w:jc w:val="both"/>
        <w:rPr>
          <w:color w:val="auto"/>
          <w:spacing w:val="-4"/>
          <w:lang w:val="vi-VN"/>
        </w:rPr>
      </w:pPr>
      <w:r w:rsidRPr="006A448D">
        <w:rPr>
          <w:color w:val="auto"/>
          <w:spacing w:val="-4"/>
          <w:lang w:val="vi-VN"/>
        </w:rPr>
        <w:t>Đảm bảo chính sách phí công khai, minh bạch, dễ thực hiện, tạo thuận lợi cho người nộp phí.</w:t>
      </w:r>
    </w:p>
    <w:p w14:paraId="7B413B9D" w14:textId="77777777" w:rsidR="00B91DC4" w:rsidRPr="005E109E" w:rsidRDefault="00B91DC4" w:rsidP="00B91DC4">
      <w:pPr>
        <w:spacing w:before="40" w:after="40"/>
        <w:ind w:firstLine="720"/>
        <w:jc w:val="both"/>
        <w:rPr>
          <w:b/>
          <w:color w:val="auto"/>
          <w:spacing w:val="-4"/>
          <w:lang w:val="vi-VN"/>
        </w:rPr>
      </w:pPr>
      <w:r w:rsidRPr="005E109E">
        <w:rPr>
          <w:b/>
          <w:color w:val="auto"/>
          <w:spacing w:val="-4"/>
          <w:lang w:val="vi-VN"/>
        </w:rPr>
        <w:t>2. Quan điểm xây dựng nghị quyết</w:t>
      </w:r>
    </w:p>
    <w:p w14:paraId="1098E741" w14:textId="2FD785F9" w:rsidR="00B91DC4" w:rsidRPr="006A448D" w:rsidRDefault="00B91DC4" w:rsidP="00B91DC4">
      <w:pPr>
        <w:spacing w:before="40" w:after="40"/>
        <w:ind w:firstLine="720"/>
        <w:jc w:val="both"/>
        <w:rPr>
          <w:color w:val="auto"/>
          <w:spacing w:val="-4"/>
          <w:lang w:val="vi-VN"/>
        </w:rPr>
      </w:pPr>
      <w:r w:rsidRPr="006A448D">
        <w:rPr>
          <w:color w:val="auto"/>
          <w:spacing w:val="-4"/>
          <w:lang w:val="vi-VN"/>
        </w:rPr>
        <w:t>Tuân thủ trình tự, thủ tục xây dựng ban hành văn bản quy phạm pháp luật.</w:t>
      </w:r>
    </w:p>
    <w:p w14:paraId="202EAB73" w14:textId="2B522DC7" w:rsidR="00B91DC4" w:rsidRPr="006A448D" w:rsidRDefault="00B91DC4" w:rsidP="00B91DC4">
      <w:pPr>
        <w:spacing w:before="40" w:after="40"/>
        <w:ind w:firstLine="720"/>
        <w:jc w:val="both"/>
        <w:rPr>
          <w:color w:val="auto"/>
          <w:spacing w:val="-4"/>
          <w:lang w:val="vi-VN"/>
        </w:rPr>
      </w:pPr>
      <w:r w:rsidRPr="006A448D">
        <w:rPr>
          <w:color w:val="auto"/>
          <w:spacing w:val="-4"/>
          <w:lang w:val="vi-VN"/>
        </w:rPr>
        <w:t>Đảm bảo phù hợp với quy định hiện hành và tình hình phát triển kinh tế - xã hội của địa phương.</w:t>
      </w:r>
    </w:p>
    <w:p w14:paraId="3775EF9E" w14:textId="2DE84279" w:rsidR="00C83031" w:rsidRPr="006A448D" w:rsidRDefault="00C83031" w:rsidP="00B91DC4">
      <w:pPr>
        <w:spacing w:before="40" w:after="40"/>
        <w:ind w:firstLine="720"/>
        <w:jc w:val="both"/>
        <w:rPr>
          <w:b/>
          <w:bCs/>
          <w:color w:val="auto"/>
          <w:spacing w:val="-4"/>
          <w:lang w:val="vi-VN"/>
        </w:rPr>
      </w:pPr>
      <w:r w:rsidRPr="006A448D">
        <w:rPr>
          <w:b/>
          <w:bCs/>
          <w:color w:val="auto"/>
          <w:spacing w:val="-4"/>
          <w:lang w:val="vi-VN"/>
        </w:rPr>
        <w:t>III. QUÁ TRÌNH XÂY DỰNG DỰ THẢO NGHỊ QUYẾT</w:t>
      </w:r>
    </w:p>
    <w:p w14:paraId="08D22D40" w14:textId="19D3A273" w:rsidR="00D3068D" w:rsidRPr="00D3068D" w:rsidRDefault="00D3068D" w:rsidP="00D3068D">
      <w:pPr>
        <w:spacing w:before="40" w:after="40"/>
        <w:ind w:firstLine="720"/>
        <w:jc w:val="both"/>
        <w:rPr>
          <w:color w:val="auto"/>
          <w:spacing w:val="-4"/>
          <w:lang w:val="vi-VN"/>
        </w:rPr>
      </w:pPr>
      <w:r w:rsidRPr="00D3068D">
        <w:rPr>
          <w:color w:val="auto"/>
          <w:spacing w:val="-4"/>
          <w:lang w:val="vi-VN"/>
        </w:rPr>
        <w:t>Thực hiện Kế hoạch số 14/KH-UBND ngày 16/01/2026 của UBND tỉnh về việc phát triển kinh tế xã hội năm 2026; Công văn số 1354/UBND-NC ngày 21/10/2025 của UBND tỉnh về việc tiêp tục rà soát, xử lý các văn bản quy phạm pháp luật chịu sự  tác động của việc sắp xếp tổ chứ bộ máy trên địa bàn toàn tỉnh và phải hoàn thành việc xử lý các văn bản tại đanh mục trước ngày 01/6/2026; Kế hoạch số 09/KH-SNNMT ngày 17/01/2026 về kịch bản tăng tưởng ngành nông nghiệp và môi trườ</w:t>
      </w:r>
      <w:r w:rsidR="005E109E">
        <w:rPr>
          <w:color w:val="auto"/>
          <w:spacing w:val="-4"/>
          <w:lang w:val="vi-VN"/>
        </w:rPr>
        <w:t>ng.</w:t>
      </w:r>
    </w:p>
    <w:p w14:paraId="021EB410" w14:textId="5633EAB2" w:rsidR="00D3068D" w:rsidRPr="00D3068D" w:rsidRDefault="00D3068D" w:rsidP="00D3068D">
      <w:pPr>
        <w:spacing w:before="40" w:after="40"/>
        <w:ind w:firstLine="720"/>
        <w:jc w:val="both"/>
        <w:rPr>
          <w:color w:val="auto"/>
          <w:spacing w:val="-4"/>
          <w:lang w:val="vi-VN"/>
        </w:rPr>
      </w:pPr>
      <w:r w:rsidRPr="00D3068D">
        <w:rPr>
          <w:color w:val="auto"/>
          <w:spacing w:val="-4"/>
          <w:lang w:val="vi-VN"/>
        </w:rPr>
        <w:t>Ngày 03/11/2025 Sở Nông nghiệp và Môi trường trình UBND tỉnh, Sở Tư pháp đăng ký danh</w:t>
      </w:r>
      <w:r>
        <w:rPr>
          <w:color w:val="auto"/>
          <w:spacing w:val="-4"/>
          <w:lang w:val="vi-VN"/>
        </w:rPr>
        <w:t xml:space="preserve"> mục Nghị quyết (Tờ trình số 581</w:t>
      </w:r>
      <w:r w:rsidR="005E109E">
        <w:rPr>
          <w:color w:val="auto"/>
          <w:spacing w:val="-4"/>
          <w:lang w:val="vi-VN"/>
        </w:rPr>
        <w:t>/TTr-SNNMT).</w:t>
      </w:r>
    </w:p>
    <w:p w14:paraId="6EEE8C0C" w14:textId="6B48FF33" w:rsidR="00D3068D" w:rsidRPr="00D3068D" w:rsidRDefault="00D3068D" w:rsidP="00D3068D">
      <w:pPr>
        <w:spacing w:before="40" w:after="40"/>
        <w:ind w:firstLine="720"/>
        <w:jc w:val="both"/>
        <w:rPr>
          <w:color w:val="auto"/>
          <w:spacing w:val="-4"/>
          <w:lang w:val="vi-VN"/>
        </w:rPr>
      </w:pPr>
      <w:r w:rsidRPr="00D3068D">
        <w:rPr>
          <w:color w:val="auto"/>
          <w:spacing w:val="-4"/>
          <w:lang w:val="vi-VN"/>
        </w:rPr>
        <w:t>Ngày 11/11/202</w:t>
      </w:r>
      <w:r>
        <w:rPr>
          <w:color w:val="auto"/>
          <w:spacing w:val="-4"/>
          <w:lang w:val="vi-VN"/>
        </w:rPr>
        <w:t>5 Sở Tư pháp có Công văn số 3114</w:t>
      </w:r>
      <w:r w:rsidRPr="00D3068D">
        <w:rPr>
          <w:color w:val="auto"/>
          <w:spacing w:val="-4"/>
          <w:lang w:val="vi-VN"/>
        </w:rPr>
        <w:t>/STP-XDTHPL cho ý kiế</w:t>
      </w:r>
      <w:r>
        <w:rPr>
          <w:color w:val="auto"/>
          <w:spacing w:val="-4"/>
          <w:lang w:val="vi-VN"/>
        </w:rPr>
        <w:t xml:space="preserve">n về nội dung đăng ký xây dựng </w:t>
      </w:r>
      <w:r w:rsidR="005E109E">
        <w:rPr>
          <w:color w:val="auto"/>
          <w:spacing w:val="-4"/>
          <w:lang w:val="vi-VN"/>
        </w:rPr>
        <w:t>Nghị quyết.</w:t>
      </w:r>
    </w:p>
    <w:p w14:paraId="507F9814" w14:textId="1B3C0362" w:rsidR="00D3068D" w:rsidRPr="00D3068D" w:rsidRDefault="00D3068D" w:rsidP="00D3068D">
      <w:pPr>
        <w:spacing w:before="40" w:after="40"/>
        <w:ind w:firstLine="720"/>
        <w:jc w:val="both"/>
        <w:rPr>
          <w:color w:val="auto"/>
          <w:spacing w:val="-4"/>
          <w:lang w:val="vi-VN"/>
        </w:rPr>
      </w:pPr>
      <w:r w:rsidRPr="00D3068D">
        <w:rPr>
          <w:color w:val="auto"/>
          <w:spacing w:val="-4"/>
          <w:lang w:val="vi-VN"/>
        </w:rPr>
        <w:lastRenderedPageBreak/>
        <w:t xml:space="preserve">Ngày 19/3/2026 Sở Nông nghiệp và Môi trường hoàn thiện theo ý kiến của Sở Tư pháp và hồ sơ kèm theo trình đăng ký danh </w:t>
      </w:r>
      <w:r>
        <w:rPr>
          <w:color w:val="auto"/>
          <w:spacing w:val="-4"/>
          <w:lang w:val="vi-VN"/>
        </w:rPr>
        <w:t>mục nghị quyết: Công văn số 2531</w:t>
      </w:r>
      <w:r w:rsidR="005E109E">
        <w:rPr>
          <w:color w:val="auto"/>
          <w:spacing w:val="-4"/>
          <w:lang w:val="vi-VN"/>
        </w:rPr>
        <w:t>/SNNMT-VPĐKĐĐ.</w:t>
      </w:r>
    </w:p>
    <w:p w14:paraId="4E5D4075" w14:textId="304EC76C" w:rsidR="00C83031" w:rsidRPr="006A448D" w:rsidRDefault="00D3068D" w:rsidP="00D3068D">
      <w:pPr>
        <w:spacing w:before="40" w:after="40"/>
        <w:ind w:firstLine="720"/>
        <w:jc w:val="both"/>
        <w:rPr>
          <w:b/>
          <w:bCs/>
          <w:color w:val="auto"/>
          <w:spacing w:val="-4"/>
          <w:lang w:val="vi-VN"/>
        </w:rPr>
      </w:pPr>
      <w:r w:rsidRPr="00D3068D">
        <w:rPr>
          <w:color w:val="auto"/>
          <w:spacing w:val="-4"/>
          <w:lang w:val="vi-VN"/>
        </w:rPr>
        <w:t xml:space="preserve">Ngày 06/4/2026 </w:t>
      </w:r>
      <w:r>
        <w:rPr>
          <w:color w:val="auto"/>
          <w:spacing w:val="-4"/>
          <w:lang w:val="vi-VN"/>
        </w:rPr>
        <w:t>UBND tỉnh đã có Công văn số 1213</w:t>
      </w:r>
      <w:r w:rsidR="001C45AD">
        <w:rPr>
          <w:color w:val="auto"/>
          <w:spacing w:val="-4"/>
          <w:lang w:val="vi-VN"/>
        </w:rPr>
        <w:t>/</w:t>
      </w:r>
      <w:bookmarkStart w:id="2" w:name="_GoBack"/>
      <w:bookmarkEnd w:id="2"/>
      <w:r w:rsidRPr="00D3068D">
        <w:rPr>
          <w:color w:val="auto"/>
          <w:spacing w:val="-4"/>
          <w:lang w:val="vi-VN"/>
        </w:rPr>
        <w:t>UBND-KT gửi thường trực HĐND tỉnh xin ý kiến về v</w:t>
      </w:r>
      <w:r>
        <w:rPr>
          <w:color w:val="auto"/>
          <w:spacing w:val="-4"/>
          <w:lang w:val="vi-VN"/>
        </w:rPr>
        <w:t>iệc đăng ký xây dựng Nghị quyết.</w:t>
      </w:r>
    </w:p>
    <w:p w14:paraId="69DAF2CF" w14:textId="37A55C46" w:rsidR="00CD6221" w:rsidRPr="006A448D" w:rsidRDefault="00CD6221" w:rsidP="00CD6221">
      <w:pPr>
        <w:spacing w:before="40" w:after="40"/>
        <w:ind w:firstLine="720"/>
        <w:jc w:val="both"/>
        <w:rPr>
          <w:b/>
          <w:color w:val="auto"/>
          <w:lang w:val="vi-VN"/>
        </w:rPr>
      </w:pPr>
      <w:r w:rsidRPr="006A448D">
        <w:rPr>
          <w:b/>
          <w:color w:val="auto"/>
          <w:lang w:val="vi-VN"/>
        </w:rPr>
        <w:t>I</w:t>
      </w:r>
      <w:r w:rsidR="00C40ED9" w:rsidRPr="006A448D">
        <w:rPr>
          <w:b/>
          <w:color w:val="auto"/>
          <w:lang w:val="vi-VN"/>
        </w:rPr>
        <w:t>V</w:t>
      </w:r>
      <w:r w:rsidRPr="006A448D">
        <w:rPr>
          <w:b/>
          <w:color w:val="auto"/>
          <w:lang w:val="vi-VN"/>
        </w:rPr>
        <w:t xml:space="preserve">. </w:t>
      </w:r>
      <w:r w:rsidR="00C83031" w:rsidRPr="006A448D">
        <w:rPr>
          <w:b/>
          <w:color w:val="auto"/>
          <w:lang w:val="vi-VN"/>
        </w:rPr>
        <w:t>BỐ CỤC VÀ NỘI DUNG CƠ BẢN CỦA DỰ THẢO NGHỊ QUYẾT</w:t>
      </w:r>
    </w:p>
    <w:p w14:paraId="0FA1D315" w14:textId="12E750C9" w:rsidR="00CD6221" w:rsidRPr="006A448D" w:rsidRDefault="00CD6221" w:rsidP="00CD6221">
      <w:pPr>
        <w:spacing w:before="40" w:after="40"/>
        <w:ind w:firstLine="720"/>
        <w:jc w:val="both"/>
        <w:rPr>
          <w:b/>
          <w:bCs/>
          <w:color w:val="auto"/>
          <w:lang w:val="vi-VN"/>
        </w:rPr>
      </w:pPr>
      <w:r w:rsidRPr="006A448D">
        <w:rPr>
          <w:b/>
          <w:bCs/>
          <w:color w:val="auto"/>
          <w:lang w:val="vi-VN"/>
        </w:rPr>
        <w:t>1. Phạm vi điều chỉnh</w:t>
      </w:r>
      <w:r w:rsidR="00C40ED9" w:rsidRPr="006A448D">
        <w:rPr>
          <w:b/>
          <w:bCs/>
          <w:color w:val="auto"/>
          <w:lang w:val="vi-VN"/>
        </w:rPr>
        <w:t>, đối tượng áp dụng</w:t>
      </w:r>
    </w:p>
    <w:p w14:paraId="50C21CD3" w14:textId="188D536D" w:rsidR="00C40ED9" w:rsidRPr="006A448D" w:rsidRDefault="00A65CFA" w:rsidP="00CD6221">
      <w:pPr>
        <w:spacing w:before="40" w:after="40"/>
        <w:ind w:firstLine="720"/>
        <w:jc w:val="both"/>
        <w:rPr>
          <w:color w:val="auto"/>
          <w:spacing w:val="6"/>
          <w:lang w:val="vi-VN"/>
        </w:rPr>
      </w:pPr>
      <w:r w:rsidRPr="006A448D">
        <w:rPr>
          <w:color w:val="auto"/>
          <w:spacing w:val="6"/>
          <w:lang w:val="vi-VN"/>
        </w:rPr>
        <w:t>a) Phạm vi điều chỉnh</w:t>
      </w:r>
    </w:p>
    <w:p w14:paraId="4E2B84F9" w14:textId="1BB513B9" w:rsidR="00CD6221" w:rsidRPr="006A448D" w:rsidRDefault="00624E8E" w:rsidP="00CD6221">
      <w:pPr>
        <w:spacing w:before="40" w:after="40"/>
        <w:ind w:firstLine="720"/>
        <w:jc w:val="both"/>
        <w:rPr>
          <w:color w:val="auto"/>
          <w:spacing w:val="6"/>
          <w:lang w:val="vi-VN"/>
        </w:rPr>
      </w:pPr>
      <w:r w:rsidRPr="00624E8E">
        <w:rPr>
          <w:color w:val="auto"/>
          <w:spacing w:val="6"/>
          <w:lang w:val="vi-VN"/>
        </w:rPr>
        <w:t>Nghị quyết này quy định mức thu, chế độ thu, nộp, quản lý và sử dụng phí cung cấp thông tin về giao dịch bảo đảm bằng quyền sử dụng đất, quyền sở hữu tài sản gắn liền với đất trên địa bàn tỉnh An Giang.</w:t>
      </w:r>
    </w:p>
    <w:p w14:paraId="76993512" w14:textId="00C63805" w:rsidR="00CD6221" w:rsidRPr="006A448D" w:rsidRDefault="00C40ED9" w:rsidP="00CD6221">
      <w:pPr>
        <w:spacing w:before="40" w:after="40"/>
        <w:ind w:firstLine="720"/>
        <w:jc w:val="both"/>
        <w:rPr>
          <w:color w:val="auto"/>
          <w:lang w:val="vi-VN"/>
        </w:rPr>
      </w:pPr>
      <w:r w:rsidRPr="006A448D">
        <w:rPr>
          <w:color w:val="auto"/>
          <w:lang w:val="vi-VN"/>
        </w:rPr>
        <w:t xml:space="preserve">b) </w:t>
      </w:r>
      <w:r w:rsidR="00CD6221" w:rsidRPr="006A448D">
        <w:rPr>
          <w:color w:val="auto"/>
          <w:lang w:val="vi-VN"/>
        </w:rPr>
        <w:t>Đối tượng áp dụng</w:t>
      </w:r>
    </w:p>
    <w:p w14:paraId="5DA490BB" w14:textId="0B9C62E8" w:rsidR="00624E8E" w:rsidRPr="00624E8E" w:rsidRDefault="00624E8E" w:rsidP="00624E8E">
      <w:pPr>
        <w:spacing w:before="40" w:after="40"/>
        <w:ind w:firstLine="720"/>
        <w:jc w:val="both"/>
        <w:rPr>
          <w:color w:val="auto"/>
          <w:lang w:val="vi-VN"/>
        </w:rPr>
      </w:pPr>
      <w:r w:rsidRPr="00624E8E">
        <w:rPr>
          <w:color w:val="auto"/>
          <w:lang w:val="vi-VN"/>
        </w:rPr>
        <w:t>Đối tượng nộp phí: Tổ chức, cá nhân có nhu cầu cung cấp thông tin về giao dịch bảo đảm bằng quyền sử dụng đất, quyền sở hữu tài sản gắn liền với đất tại các cơ quan nhà nước có thẩm quyền.</w:t>
      </w:r>
    </w:p>
    <w:p w14:paraId="09BD3176" w14:textId="1A9061F2" w:rsidR="00CD6221" w:rsidRPr="006A448D" w:rsidRDefault="00624E8E" w:rsidP="00624E8E">
      <w:pPr>
        <w:spacing w:before="40" w:after="40"/>
        <w:ind w:firstLine="720"/>
        <w:jc w:val="both"/>
        <w:rPr>
          <w:color w:val="auto"/>
          <w:lang w:val="vi-VN"/>
        </w:rPr>
      </w:pPr>
      <w:r w:rsidRPr="00624E8E">
        <w:rPr>
          <w:color w:val="auto"/>
          <w:lang w:val="vi-VN"/>
        </w:rPr>
        <w:t>Đơn vị thu phí gồm: Văn phòng đăng ký đất đai tỉnh thu phí đối với tổ chức; Chi nhánh Văn phòng đăng ký đất đai khu vực liên xã, phường, đặc khu thu phí đối với hộ gia đình, cá nhân.</w:t>
      </w:r>
    </w:p>
    <w:p w14:paraId="57DCE1D6" w14:textId="20D60AF3" w:rsidR="00C40ED9" w:rsidRPr="006A448D" w:rsidRDefault="005B66B6" w:rsidP="00CD6221">
      <w:pPr>
        <w:spacing w:before="40" w:after="40"/>
        <w:ind w:firstLine="720"/>
        <w:jc w:val="both"/>
        <w:rPr>
          <w:b/>
          <w:bCs/>
          <w:color w:val="auto"/>
          <w:lang w:val="vi-VN"/>
        </w:rPr>
      </w:pPr>
      <w:r w:rsidRPr="006A448D">
        <w:rPr>
          <w:b/>
          <w:bCs/>
          <w:color w:val="auto"/>
          <w:lang w:val="vi-VN"/>
        </w:rPr>
        <w:t>2</w:t>
      </w:r>
      <w:r w:rsidR="00C40ED9" w:rsidRPr="006A448D">
        <w:rPr>
          <w:b/>
          <w:bCs/>
          <w:color w:val="auto"/>
          <w:lang w:val="vi-VN"/>
        </w:rPr>
        <w:t>. Bố cục của dự thảo nghị quyết</w:t>
      </w:r>
    </w:p>
    <w:p w14:paraId="0E5137B2" w14:textId="61B892B6" w:rsidR="00C40ED9" w:rsidRPr="006A448D" w:rsidRDefault="005B66B6" w:rsidP="00C40ED9">
      <w:pPr>
        <w:spacing w:before="40" w:after="40"/>
        <w:ind w:firstLine="720"/>
        <w:jc w:val="both"/>
        <w:rPr>
          <w:color w:val="auto"/>
          <w:lang w:val="vi-VN"/>
        </w:rPr>
      </w:pPr>
      <w:r w:rsidRPr="006A448D">
        <w:rPr>
          <w:color w:val="auto"/>
          <w:lang w:val="vi-VN"/>
        </w:rPr>
        <w:t>Bố cục Nghị quyết gồm phần căn cứ pháp lý và nội dung có 03 Điều:</w:t>
      </w:r>
    </w:p>
    <w:p w14:paraId="5CD26F85" w14:textId="00E12BFC" w:rsidR="00C40ED9" w:rsidRPr="006A448D" w:rsidRDefault="00C40ED9" w:rsidP="00C40ED9">
      <w:pPr>
        <w:spacing w:before="40" w:after="40"/>
        <w:ind w:firstLine="720"/>
        <w:jc w:val="both"/>
        <w:rPr>
          <w:b/>
          <w:bCs/>
          <w:color w:val="auto"/>
          <w:lang w:val="vi-VN"/>
        </w:rPr>
      </w:pPr>
      <w:r w:rsidRPr="006A448D">
        <w:rPr>
          <w:b/>
          <w:bCs/>
          <w:color w:val="auto"/>
          <w:lang w:val="vi-VN"/>
        </w:rPr>
        <w:t xml:space="preserve">Điều 1. </w:t>
      </w:r>
    </w:p>
    <w:p w14:paraId="100D2294" w14:textId="59610A2F" w:rsidR="00C40ED9" w:rsidRPr="006A448D" w:rsidRDefault="00C40ED9" w:rsidP="00C40ED9">
      <w:pPr>
        <w:spacing w:before="40" w:after="40"/>
        <w:ind w:firstLine="720"/>
        <w:jc w:val="both"/>
        <w:rPr>
          <w:color w:val="auto"/>
          <w:lang w:val="vi-VN"/>
        </w:rPr>
      </w:pPr>
      <w:r w:rsidRPr="006A448D">
        <w:rPr>
          <w:color w:val="auto"/>
          <w:lang w:val="vi-VN"/>
        </w:rPr>
        <w:t>1. Phạm vi điều chỉnh</w:t>
      </w:r>
    </w:p>
    <w:p w14:paraId="62F43266" w14:textId="7AD08A48" w:rsidR="00C40ED9" w:rsidRPr="006A448D" w:rsidRDefault="00C40ED9" w:rsidP="00C40ED9">
      <w:pPr>
        <w:spacing w:before="40" w:after="40"/>
        <w:ind w:firstLine="720"/>
        <w:jc w:val="both"/>
        <w:rPr>
          <w:color w:val="auto"/>
          <w:lang w:val="vi-VN"/>
        </w:rPr>
      </w:pPr>
      <w:r w:rsidRPr="006A448D">
        <w:rPr>
          <w:color w:val="auto"/>
          <w:lang w:val="vi-VN"/>
        </w:rPr>
        <w:t>2. Đối tượng áp dụng</w:t>
      </w:r>
    </w:p>
    <w:p w14:paraId="4D3E5A75" w14:textId="1E4477CB" w:rsidR="00C40ED9" w:rsidRPr="006A448D" w:rsidRDefault="00C40ED9" w:rsidP="00C40ED9">
      <w:pPr>
        <w:spacing w:before="40" w:after="40"/>
        <w:ind w:firstLine="720"/>
        <w:jc w:val="both"/>
        <w:rPr>
          <w:color w:val="auto"/>
          <w:lang w:val="vi-VN"/>
        </w:rPr>
      </w:pPr>
      <w:r w:rsidRPr="006A448D">
        <w:rPr>
          <w:color w:val="auto"/>
          <w:lang w:val="vi-VN"/>
        </w:rPr>
        <w:t xml:space="preserve">3. </w:t>
      </w:r>
      <w:r w:rsidR="008844EB" w:rsidRPr="006A448D">
        <w:rPr>
          <w:color w:val="auto"/>
          <w:lang w:val="vi-VN"/>
        </w:rPr>
        <w:t xml:space="preserve">Đối tượng miễn thu </w:t>
      </w:r>
      <w:r w:rsidR="005B66B6" w:rsidRPr="006A448D">
        <w:rPr>
          <w:color w:val="auto"/>
          <w:lang w:val="vi-VN"/>
        </w:rPr>
        <w:t>phí</w:t>
      </w:r>
    </w:p>
    <w:p w14:paraId="6C210774" w14:textId="703723AB" w:rsidR="00C40ED9" w:rsidRPr="006A448D" w:rsidRDefault="00C40ED9" w:rsidP="00C40ED9">
      <w:pPr>
        <w:spacing w:before="40" w:after="40"/>
        <w:ind w:firstLine="720"/>
        <w:jc w:val="both"/>
        <w:rPr>
          <w:color w:val="auto"/>
          <w:lang w:val="vi-VN"/>
        </w:rPr>
      </w:pPr>
      <w:r w:rsidRPr="006A448D">
        <w:rPr>
          <w:color w:val="auto"/>
          <w:lang w:val="vi-VN"/>
        </w:rPr>
        <w:t xml:space="preserve">4. </w:t>
      </w:r>
      <w:r w:rsidR="005B66B6" w:rsidRPr="006A448D">
        <w:rPr>
          <w:color w:val="auto"/>
          <w:lang w:val="vi-VN"/>
        </w:rPr>
        <w:t>Mức t</w:t>
      </w:r>
      <w:r w:rsidR="008844EB" w:rsidRPr="006A448D">
        <w:rPr>
          <w:color w:val="auto"/>
          <w:lang w:val="vi-VN"/>
        </w:rPr>
        <w:t xml:space="preserve">hu </w:t>
      </w:r>
      <w:r w:rsidR="005B66B6" w:rsidRPr="006A448D">
        <w:rPr>
          <w:color w:val="auto"/>
          <w:lang w:val="vi-VN"/>
        </w:rPr>
        <w:t>phí</w:t>
      </w:r>
    </w:p>
    <w:p w14:paraId="4A27DBE2" w14:textId="3A216CFF" w:rsidR="00C40ED9" w:rsidRPr="006A448D" w:rsidRDefault="00C40ED9" w:rsidP="00C40ED9">
      <w:pPr>
        <w:spacing w:before="40" w:after="40"/>
        <w:ind w:firstLine="720"/>
        <w:jc w:val="both"/>
        <w:rPr>
          <w:color w:val="auto"/>
          <w:lang w:val="vi-VN"/>
        </w:rPr>
      </w:pPr>
      <w:r w:rsidRPr="006A448D">
        <w:rPr>
          <w:color w:val="auto"/>
          <w:lang w:val="vi-VN"/>
        </w:rPr>
        <w:t xml:space="preserve">5. </w:t>
      </w:r>
      <w:r w:rsidR="008844EB" w:rsidRPr="006A448D">
        <w:rPr>
          <w:color w:val="auto"/>
          <w:lang w:val="vi-VN"/>
        </w:rPr>
        <w:t>Chế độ nộp, quản lý và sử dụng phí</w:t>
      </w:r>
    </w:p>
    <w:p w14:paraId="762B58EC" w14:textId="040BC351" w:rsidR="00C40ED9" w:rsidRPr="006A448D" w:rsidRDefault="00C40ED9" w:rsidP="00C40ED9">
      <w:pPr>
        <w:spacing w:before="40" w:after="40"/>
        <w:ind w:firstLine="720"/>
        <w:jc w:val="both"/>
        <w:rPr>
          <w:color w:val="auto"/>
          <w:lang w:val="vi-VN"/>
        </w:rPr>
      </w:pPr>
      <w:r w:rsidRPr="006A448D">
        <w:rPr>
          <w:b/>
          <w:bCs/>
          <w:color w:val="auto"/>
          <w:lang w:val="vi-VN"/>
        </w:rPr>
        <w:t xml:space="preserve">Điều 2. </w:t>
      </w:r>
      <w:r w:rsidR="00302A32" w:rsidRPr="006A448D">
        <w:rPr>
          <w:color w:val="auto"/>
          <w:lang w:val="vi-VN"/>
        </w:rPr>
        <w:t>Tổ chức thực hiện</w:t>
      </w:r>
    </w:p>
    <w:p w14:paraId="77A72AF1" w14:textId="0F2418BD" w:rsidR="00C40ED9" w:rsidRPr="006A448D" w:rsidRDefault="00C40ED9" w:rsidP="00C40ED9">
      <w:pPr>
        <w:spacing w:before="40" w:after="40"/>
        <w:ind w:firstLine="720"/>
        <w:jc w:val="both"/>
        <w:rPr>
          <w:color w:val="auto"/>
          <w:lang w:val="vi-VN"/>
        </w:rPr>
      </w:pPr>
      <w:r w:rsidRPr="006A448D">
        <w:rPr>
          <w:b/>
          <w:bCs/>
          <w:color w:val="auto"/>
          <w:lang w:val="vi-VN"/>
        </w:rPr>
        <w:t xml:space="preserve">Điều 3. </w:t>
      </w:r>
      <w:r w:rsidRPr="006A448D">
        <w:rPr>
          <w:color w:val="auto"/>
          <w:lang w:val="vi-VN"/>
        </w:rPr>
        <w:t>Hiệu lực thi hành</w:t>
      </w:r>
    </w:p>
    <w:p w14:paraId="0AB1B708" w14:textId="4BA1C153" w:rsidR="005B66B6" w:rsidRPr="006A448D" w:rsidRDefault="005B66B6" w:rsidP="00C40ED9">
      <w:pPr>
        <w:spacing w:before="40" w:after="40"/>
        <w:ind w:firstLine="720"/>
        <w:jc w:val="both"/>
        <w:rPr>
          <w:b/>
          <w:bCs/>
          <w:color w:val="auto"/>
          <w:lang w:val="vi-VN"/>
        </w:rPr>
      </w:pPr>
      <w:r w:rsidRPr="006A448D">
        <w:rPr>
          <w:b/>
          <w:bCs/>
          <w:color w:val="auto"/>
          <w:lang w:val="vi-VN"/>
        </w:rPr>
        <w:t>3. Nội dung cơ bản</w:t>
      </w:r>
    </w:p>
    <w:p w14:paraId="3DDE0C9C" w14:textId="408107F6" w:rsidR="00804A9F" w:rsidRPr="006A448D" w:rsidRDefault="00804A9F" w:rsidP="00804A9F">
      <w:pPr>
        <w:spacing w:before="40" w:after="40"/>
        <w:ind w:firstLine="720"/>
        <w:jc w:val="both"/>
        <w:rPr>
          <w:color w:val="auto"/>
          <w:lang w:val="vi-VN"/>
        </w:rPr>
      </w:pPr>
      <w:r w:rsidRPr="006A448D">
        <w:rPr>
          <w:color w:val="auto"/>
          <w:lang w:val="vi-VN"/>
        </w:rPr>
        <w:t>a) Mức thu lệ phí và tỷ lệ để lại</w:t>
      </w:r>
    </w:p>
    <w:p w14:paraId="4AA678F7" w14:textId="5D8F9E05" w:rsidR="00804A9F" w:rsidRPr="00624E8E" w:rsidRDefault="00624E8E" w:rsidP="00804A9F">
      <w:pPr>
        <w:spacing w:before="40" w:after="40"/>
        <w:ind w:firstLine="720"/>
        <w:jc w:val="both"/>
        <w:rPr>
          <w:color w:val="auto"/>
          <w:lang w:val="vi-VN"/>
        </w:rPr>
      </w:pPr>
      <w:r w:rsidRPr="00624E8E">
        <w:rPr>
          <w:color w:val="auto"/>
          <w:lang w:val="vi-VN"/>
        </w:rPr>
        <w:t>Căn cứ vào mức thu phí được ban hành tại Nghị quyết số 05/2022/NQ-HĐND ngày 12/7/2022 của HĐND tỉnh An Giang (cũ) và Nghị quyết số 143/2018/NQ-HĐND ngày 08/01/2018 của HĐND tỉnh Kiên Giang (cũ), áp dụng mức lương cơ sở là 2.340.000 đồng để xây dựng mức thu phí mới. Qua đó, biểu th</w:t>
      </w:r>
      <w:r w:rsidR="00E3119B">
        <w:rPr>
          <w:color w:val="auto"/>
          <w:lang w:val="vi-VN"/>
        </w:rPr>
        <w:t>u mức phí dự kiến tăng khoảng 67</w:t>
      </w:r>
      <w:r w:rsidRPr="00624E8E">
        <w:rPr>
          <w:color w:val="auto"/>
          <w:lang w:val="vi-VN"/>
        </w:rPr>
        <w:t>% so với mức thu tại Nghị quyết số 05/2022/NQ-HĐND ngày 12/7/2022 của HĐND tỉnh An Giang (cũ) đưa vào dự thảo nghị quyết.</w:t>
      </w:r>
      <w:r>
        <w:rPr>
          <w:color w:val="auto"/>
          <w:lang w:val="vi-VN"/>
        </w:rPr>
        <w:t xml:space="preserve"> Dự kiến m</w:t>
      </w:r>
      <w:r w:rsidRPr="00624E8E">
        <w:rPr>
          <w:color w:val="auto"/>
          <w:lang w:val="nl-NL"/>
        </w:rPr>
        <w:t xml:space="preserve">ức phí cung cấp thông tin về giao dịch bảo đảm bằng quyền sử dụng đất, </w:t>
      </w:r>
      <w:r w:rsidRPr="00624E8E">
        <w:rPr>
          <w:color w:val="auto"/>
          <w:lang w:val="vi-VN"/>
        </w:rPr>
        <w:t xml:space="preserve">quyền sở hữu </w:t>
      </w:r>
      <w:r w:rsidRPr="00624E8E">
        <w:rPr>
          <w:color w:val="auto"/>
          <w:lang w:val="nl-NL"/>
        </w:rPr>
        <w:t>tài sản gắn liền với đất: 50.000 đồng/hồ sơ.</w:t>
      </w:r>
    </w:p>
    <w:p w14:paraId="6F7B744B" w14:textId="36400FCA" w:rsidR="00804A9F" w:rsidRPr="006A448D" w:rsidRDefault="00804A9F" w:rsidP="00804A9F">
      <w:pPr>
        <w:spacing w:before="40" w:after="40"/>
        <w:ind w:firstLine="720"/>
        <w:jc w:val="both"/>
        <w:rPr>
          <w:color w:val="auto"/>
          <w:lang w:val="vi-VN"/>
        </w:rPr>
      </w:pPr>
      <w:r w:rsidRPr="006A448D">
        <w:rPr>
          <w:color w:val="auto"/>
          <w:lang w:val="vi-VN"/>
        </w:rPr>
        <w:t xml:space="preserve">- Tỷ lệ để lại: </w:t>
      </w:r>
      <w:r w:rsidR="00624E8E" w:rsidRPr="00624E8E">
        <w:rPr>
          <w:color w:val="auto"/>
          <w:lang w:val="vi-VN"/>
        </w:rPr>
        <w:t>Cơ quan thu phí được trích để lại 100% trên tổng số tiền phí thu được để trang trải chi phí hoạt động cung cấp dịch vụ và thu phí theo quy định hiện hành</w:t>
      </w:r>
      <w:r w:rsidR="00624A0B" w:rsidRPr="006A448D">
        <w:rPr>
          <w:color w:val="auto"/>
          <w:lang w:val="vi-VN"/>
        </w:rPr>
        <w:t>.</w:t>
      </w:r>
    </w:p>
    <w:p w14:paraId="6E2955E8" w14:textId="77777777" w:rsidR="00804A9F" w:rsidRPr="006A448D" w:rsidRDefault="00804A9F" w:rsidP="00804A9F">
      <w:pPr>
        <w:spacing w:before="40" w:after="40"/>
        <w:ind w:firstLine="720"/>
        <w:jc w:val="both"/>
        <w:rPr>
          <w:color w:val="auto"/>
          <w:lang w:val="vi-VN"/>
        </w:rPr>
      </w:pPr>
      <w:r w:rsidRPr="006A448D">
        <w:rPr>
          <w:color w:val="auto"/>
          <w:lang w:val="vi-VN"/>
        </w:rPr>
        <w:t>b) Đối tượng miễn thu phí</w:t>
      </w:r>
    </w:p>
    <w:p w14:paraId="48C7B075" w14:textId="16BCAB38" w:rsidR="00624E8E" w:rsidRPr="00624E8E" w:rsidRDefault="00624E8E" w:rsidP="00624E8E">
      <w:pPr>
        <w:spacing w:before="40" w:after="40"/>
        <w:ind w:firstLine="720"/>
        <w:jc w:val="both"/>
        <w:rPr>
          <w:color w:val="auto"/>
          <w:lang w:val="vi-VN"/>
        </w:rPr>
      </w:pPr>
      <w:r w:rsidRPr="00624E8E">
        <w:rPr>
          <w:color w:val="auto"/>
          <w:lang w:val="vi-VN"/>
        </w:rPr>
        <w:lastRenderedPageBreak/>
        <w:t>Tòa án nhân dân, Trọng tài, Viện kiểm sát nhân dân, Cơ quan điều tra, cơ quan nhà nước có thẩm quyền khác có quyền yêu cầu cơ quan đăng ký biện pháp bảo đảm cung cấp thông tin về biện pháp bảo đảm để phục vụ hoạt động chuyên môn thuộc phạm vi lĩnh vực quản lý của cơ quan mình.</w:t>
      </w:r>
    </w:p>
    <w:p w14:paraId="5B034DDA" w14:textId="0C4D3CA3" w:rsidR="00804A9F" w:rsidRPr="006A448D" w:rsidRDefault="00624E8E" w:rsidP="00624E8E">
      <w:pPr>
        <w:spacing w:before="40" w:after="40"/>
        <w:ind w:firstLine="720"/>
        <w:jc w:val="both"/>
        <w:rPr>
          <w:color w:val="auto"/>
          <w:lang w:val="vi-VN"/>
        </w:rPr>
      </w:pPr>
      <w:r w:rsidRPr="00624E8E">
        <w:rPr>
          <w:color w:val="auto"/>
          <w:lang w:val="vi-VN"/>
        </w:rPr>
        <w:t>Cơ quan thi hành án dân sự, Chấp hành viên yêu cầu cung cấp thông tin về tài sản kê biên.</w:t>
      </w:r>
    </w:p>
    <w:p w14:paraId="28CE8887" w14:textId="77777777" w:rsidR="00804A9F" w:rsidRPr="006A448D" w:rsidRDefault="00804A9F" w:rsidP="00804A9F">
      <w:pPr>
        <w:spacing w:before="40" w:after="40"/>
        <w:ind w:firstLine="720"/>
        <w:jc w:val="both"/>
        <w:rPr>
          <w:color w:val="auto"/>
          <w:lang w:val="vi-VN"/>
        </w:rPr>
      </w:pPr>
      <w:r w:rsidRPr="006A448D">
        <w:rPr>
          <w:color w:val="auto"/>
          <w:lang w:val="vi-VN"/>
        </w:rPr>
        <w:t>c) Kê khai, nộp, quản lý phí</w:t>
      </w:r>
    </w:p>
    <w:p w14:paraId="70FC7180" w14:textId="4824D959" w:rsidR="00624E8E" w:rsidRPr="00624E8E" w:rsidRDefault="00624E8E" w:rsidP="00624E8E">
      <w:pPr>
        <w:spacing w:before="40" w:after="40"/>
        <w:ind w:firstLine="720"/>
        <w:jc w:val="both"/>
        <w:rPr>
          <w:color w:val="auto"/>
          <w:lang w:val="vi-VN"/>
        </w:rPr>
      </w:pPr>
      <w:r w:rsidRPr="00624E8E">
        <w:rPr>
          <w:color w:val="auto"/>
          <w:lang w:val="vi-VN"/>
        </w:rPr>
        <w:t>Đơn vị thu phí được trích để lại 100% (Một trăm phần trăm) tổng số tiền phí thu được để trang trải chi phí cho việc thực hiện công việc, dịch vụ thu phí theo quy định.</w:t>
      </w:r>
    </w:p>
    <w:p w14:paraId="1F9B39FB" w14:textId="0E43C50E" w:rsidR="00624E8E" w:rsidRPr="00624E8E" w:rsidRDefault="00624E8E" w:rsidP="00624E8E">
      <w:pPr>
        <w:spacing w:before="40" w:after="40"/>
        <w:ind w:firstLine="720"/>
        <w:jc w:val="both"/>
        <w:rPr>
          <w:color w:val="auto"/>
          <w:lang w:val="vi-VN"/>
        </w:rPr>
      </w:pPr>
      <w:r w:rsidRPr="00624E8E">
        <w:rPr>
          <w:color w:val="auto"/>
          <w:lang w:val="vi-VN"/>
        </w:rPr>
        <w:t>Đơn vị thu phí có trách nhiệm niêm yết và thông báo công khai tại điểm thu phí và trên Trang thông tin điện tử của đơn vị thu phí về tên phí, mức thu, phương thức thu và đối tượng nộp, miễn thu phí; đăng ký với cơ quan thuế để sử dụng và quyết toán lai thu phí theo quy định hiện hành.</w:t>
      </w:r>
    </w:p>
    <w:p w14:paraId="3A97CDCB" w14:textId="6FE1809B" w:rsidR="00804A9F" w:rsidRPr="006A448D" w:rsidRDefault="00624E8E" w:rsidP="00624E8E">
      <w:pPr>
        <w:spacing w:before="40" w:after="40"/>
        <w:ind w:firstLine="720"/>
        <w:jc w:val="both"/>
        <w:rPr>
          <w:color w:val="auto"/>
          <w:lang w:val="vi-VN"/>
        </w:rPr>
      </w:pPr>
      <w:r w:rsidRPr="00624E8E">
        <w:rPr>
          <w:color w:val="auto"/>
          <w:lang w:val="vi-VN"/>
        </w:rPr>
        <w:t>Các nội dung khác liên quan đến việc thu, nộp phí cung cấp thông tin về giao dịch bảo đảm bằng quyền sử dụng đất, quyền sở hữu tài sản gắn liền với đất trên địa bàn tỉnh An Giang được thực hiện theo hướng dẫn tại Luật Phí và lệ phí, Nghị định số 362/2025/NĐ-CP ngày 31 tháng 12 năm 2025 của Chính phủ quy định chi tiết một số điều và biện pháp để tổ chức, hướng dẫn thi hành Luật Phí và lệ phí, Luật Quản lý thuế, Nghị định số 126/2020/NĐ-CP ngày 19 tháng 10 năm 2020 của Chính phủ quy định chi tiết một số điều của Luật Quản lý thuế, Nghị định số 347/2025/NĐ-CP ngày 29 tháng 12 năm 2025 của Chính phủ quy định về thủ tục hành chính thuộc lĩnh vực Kho bạc Nhà nước.</w:t>
      </w:r>
    </w:p>
    <w:p w14:paraId="3A1F308B" w14:textId="63053C6A" w:rsidR="00CD6221" w:rsidRPr="006A448D" w:rsidRDefault="00624A0B" w:rsidP="00CD6221">
      <w:pPr>
        <w:spacing w:before="40" w:after="40"/>
        <w:ind w:firstLine="720"/>
        <w:jc w:val="both"/>
        <w:rPr>
          <w:b/>
          <w:color w:val="auto"/>
          <w:lang w:val="vi-VN"/>
        </w:rPr>
      </w:pPr>
      <w:r w:rsidRPr="006A448D">
        <w:rPr>
          <w:b/>
          <w:color w:val="auto"/>
          <w:lang w:val="vi-VN"/>
        </w:rPr>
        <w:t>V. DỰ KIẾN NGUỒN LỰC, ĐIỀU KIỆN BẢO ĐẢM CHO VIỆC THI HÀNH NGHỊ QUYẾT VÀ THỜI GIAN TRÌNH THÔNG QUA</w:t>
      </w:r>
    </w:p>
    <w:p w14:paraId="7223CDA8" w14:textId="77777777" w:rsidR="00624A0B" w:rsidRPr="006A448D" w:rsidRDefault="00624A0B" w:rsidP="00624A0B">
      <w:pPr>
        <w:spacing w:before="40" w:after="40"/>
        <w:ind w:firstLine="720"/>
        <w:jc w:val="both"/>
        <w:rPr>
          <w:bCs/>
          <w:iCs/>
          <w:color w:val="auto"/>
          <w:shd w:val="clear" w:color="auto" w:fill="FFFFFF"/>
          <w:lang w:val="pt-BR"/>
        </w:rPr>
      </w:pPr>
      <w:r w:rsidRPr="006A448D">
        <w:rPr>
          <w:bCs/>
          <w:iCs/>
          <w:color w:val="auto"/>
          <w:shd w:val="clear" w:color="auto" w:fill="FFFFFF"/>
          <w:lang w:val="pt-BR"/>
        </w:rPr>
        <w:t>1. Dự kiến nguồn lực</w:t>
      </w:r>
    </w:p>
    <w:p w14:paraId="2CA7C6B5" w14:textId="69AE0187" w:rsidR="005738BF" w:rsidRPr="006A448D" w:rsidRDefault="005738BF" w:rsidP="005738BF">
      <w:pPr>
        <w:spacing w:before="40" w:after="40"/>
        <w:ind w:firstLine="720"/>
        <w:jc w:val="both"/>
        <w:rPr>
          <w:bCs/>
          <w:iCs/>
          <w:color w:val="auto"/>
          <w:shd w:val="clear" w:color="auto" w:fill="FFFFFF"/>
          <w:lang w:val="pt-BR"/>
        </w:rPr>
      </w:pPr>
      <w:r w:rsidRPr="006A448D">
        <w:rPr>
          <w:bCs/>
          <w:iCs/>
          <w:color w:val="auto"/>
          <w:shd w:val="clear" w:color="auto" w:fill="FFFFFF"/>
          <w:lang w:val="pt-BR"/>
        </w:rPr>
        <w:t>Sử dụng đội ngũ công chức, viên chức</w:t>
      </w:r>
      <w:r w:rsidR="00036EA0" w:rsidRPr="006A448D">
        <w:rPr>
          <w:color w:val="auto"/>
          <w:lang w:val="vi-VN"/>
        </w:rPr>
        <w:t xml:space="preserve"> </w:t>
      </w:r>
      <w:r w:rsidR="00036EA0" w:rsidRPr="006A448D">
        <w:rPr>
          <w:bCs/>
          <w:iCs/>
          <w:color w:val="auto"/>
          <w:shd w:val="clear" w:color="auto" w:fill="FFFFFF"/>
          <w:lang w:val="pt-BR"/>
        </w:rPr>
        <w:t>có chuyên môn, nghiệp vụ phù hợp</w:t>
      </w:r>
      <w:r w:rsidRPr="006A448D">
        <w:rPr>
          <w:bCs/>
          <w:iCs/>
          <w:color w:val="auto"/>
          <w:shd w:val="clear" w:color="auto" w:fill="FFFFFF"/>
          <w:lang w:val="pt-BR"/>
        </w:rPr>
        <w:t xml:space="preserve"> hiện có tại Văn phòng đăng ký đất đai tỉnh và Chi nhánh Văn phòng đăng ký đất đai khu vực liên xã, phường, đặc khu</w:t>
      </w:r>
      <w:r w:rsidR="00036EA0" w:rsidRPr="006A448D">
        <w:rPr>
          <w:bCs/>
          <w:iCs/>
          <w:color w:val="auto"/>
          <w:shd w:val="clear" w:color="auto" w:fill="FFFFFF"/>
          <w:lang w:val="pt-BR"/>
        </w:rPr>
        <w:t>,</w:t>
      </w:r>
      <w:r w:rsidR="00036EA0" w:rsidRPr="006A448D">
        <w:rPr>
          <w:color w:val="auto"/>
          <w:lang w:val="vi-VN"/>
        </w:rPr>
        <w:t xml:space="preserve"> </w:t>
      </w:r>
      <w:r w:rsidR="00036EA0" w:rsidRPr="006A448D">
        <w:rPr>
          <w:bCs/>
          <w:iCs/>
          <w:color w:val="auto"/>
          <w:shd w:val="clear" w:color="auto" w:fill="FFFFFF"/>
          <w:lang w:val="pt-BR"/>
        </w:rPr>
        <w:t>đáp ứng yêu cầu thực hiện nhiệm vụ</w:t>
      </w:r>
      <w:r w:rsidRPr="006A448D">
        <w:rPr>
          <w:bCs/>
          <w:iCs/>
          <w:color w:val="auto"/>
          <w:shd w:val="clear" w:color="auto" w:fill="FFFFFF"/>
          <w:lang w:val="pt-BR"/>
        </w:rPr>
        <w:t>; không làm phát sinh thêm biên chế.</w:t>
      </w:r>
    </w:p>
    <w:p w14:paraId="312F29AE" w14:textId="77777777" w:rsidR="00624A0B" w:rsidRPr="006A448D" w:rsidRDefault="00624A0B" w:rsidP="005738BF">
      <w:pPr>
        <w:spacing w:before="40" w:after="40"/>
        <w:ind w:firstLine="720"/>
        <w:jc w:val="both"/>
        <w:rPr>
          <w:bCs/>
          <w:iCs/>
          <w:color w:val="auto"/>
          <w:shd w:val="clear" w:color="auto" w:fill="FFFFFF"/>
          <w:lang w:val="pt-BR"/>
        </w:rPr>
      </w:pPr>
      <w:r w:rsidRPr="006A448D">
        <w:rPr>
          <w:bCs/>
          <w:iCs/>
          <w:color w:val="auto"/>
          <w:shd w:val="clear" w:color="auto" w:fill="FFFFFF"/>
          <w:lang w:val="pt-BR"/>
        </w:rPr>
        <w:t>2. Điều kiện bảo đảm cho việc thi hành Nghị quyết</w:t>
      </w:r>
    </w:p>
    <w:p w14:paraId="14A09FCF" w14:textId="16C69A29" w:rsidR="00624A0B" w:rsidRPr="006A448D" w:rsidRDefault="00036EA0" w:rsidP="00624A0B">
      <w:pPr>
        <w:spacing w:before="40" w:after="40"/>
        <w:ind w:firstLine="720"/>
        <w:jc w:val="both"/>
        <w:rPr>
          <w:bCs/>
          <w:iCs/>
          <w:color w:val="auto"/>
          <w:shd w:val="clear" w:color="auto" w:fill="FFFFFF"/>
          <w:lang w:val="pt-BR"/>
        </w:rPr>
      </w:pPr>
      <w:r w:rsidRPr="006A448D">
        <w:rPr>
          <w:bCs/>
          <w:iCs/>
          <w:color w:val="auto"/>
          <w:shd w:val="clear" w:color="auto" w:fill="FFFFFF"/>
          <w:lang w:val="pt-BR"/>
        </w:rPr>
        <w:t>Nghị quyết được ban hành trên cơ sở phù hợp với quy định của Luật Phí và lệ phí 2015, Luật Đất đai 2024 và các văn bản hướng dẫn thi hành, bảo đảm đầy đủ căn cứ pháp lý để tổ chức thực hiện thống nhất trên địa bàn tỉnh.</w:t>
      </w:r>
    </w:p>
    <w:p w14:paraId="711F9765" w14:textId="77777777" w:rsidR="00624A0B" w:rsidRPr="006A448D" w:rsidRDefault="00624A0B" w:rsidP="00624A0B">
      <w:pPr>
        <w:spacing w:before="40" w:after="40"/>
        <w:ind w:firstLine="720"/>
        <w:jc w:val="both"/>
        <w:rPr>
          <w:bCs/>
          <w:iCs/>
          <w:color w:val="auto"/>
          <w:shd w:val="clear" w:color="auto" w:fill="FFFFFF"/>
          <w:lang w:val="pt-BR"/>
        </w:rPr>
      </w:pPr>
      <w:r w:rsidRPr="006A448D">
        <w:rPr>
          <w:bCs/>
          <w:iCs/>
          <w:color w:val="auto"/>
          <w:shd w:val="clear" w:color="auto" w:fill="FFFFFF"/>
          <w:lang w:val="pt-BR"/>
        </w:rPr>
        <w:t>3. Thời gian trình thông qua</w:t>
      </w:r>
    </w:p>
    <w:p w14:paraId="63FFFDAB" w14:textId="63589E79" w:rsidR="00624A0B" w:rsidRPr="006A448D" w:rsidRDefault="00624A0B" w:rsidP="00624A0B">
      <w:pPr>
        <w:spacing w:before="40" w:after="40"/>
        <w:ind w:firstLine="720"/>
        <w:jc w:val="both"/>
        <w:rPr>
          <w:bCs/>
          <w:iCs/>
          <w:color w:val="auto"/>
          <w:shd w:val="clear" w:color="auto" w:fill="FFFFFF"/>
          <w:lang w:val="pt-BR"/>
        </w:rPr>
      </w:pPr>
      <w:r w:rsidRPr="006A448D">
        <w:rPr>
          <w:bCs/>
          <w:iCs/>
          <w:color w:val="auto"/>
          <w:shd w:val="clear" w:color="auto" w:fill="FFFFFF"/>
          <w:lang w:val="pt-BR"/>
        </w:rPr>
        <w:t xml:space="preserve">Dự kiến trình thông qua Nghị quyết tại </w:t>
      </w:r>
      <w:r w:rsidR="00036EA0" w:rsidRPr="006A448D">
        <w:rPr>
          <w:bCs/>
          <w:iCs/>
          <w:color w:val="auto"/>
          <w:shd w:val="clear" w:color="auto" w:fill="FFFFFF"/>
          <w:lang w:val="pt-BR"/>
        </w:rPr>
        <w:t>Kỳ họp chuyên đề  Hội đồng nhân dân tỉnh năm 2026 gần nhất</w:t>
      </w:r>
      <w:r w:rsidRPr="006A448D">
        <w:rPr>
          <w:bCs/>
          <w:iCs/>
          <w:color w:val="auto"/>
          <w:shd w:val="clear" w:color="auto" w:fill="FFFFFF"/>
          <w:lang w:val="pt-BR"/>
        </w:rPr>
        <w:t>.</w:t>
      </w:r>
    </w:p>
    <w:p w14:paraId="0C9987F7" w14:textId="21549E4E" w:rsidR="00CD6221" w:rsidRPr="006A448D" w:rsidRDefault="00624A0B" w:rsidP="00624A0B">
      <w:pPr>
        <w:spacing w:before="40" w:after="40"/>
        <w:ind w:firstLine="720"/>
        <w:jc w:val="both"/>
        <w:rPr>
          <w:color w:val="auto"/>
          <w:lang w:val="vi-VN"/>
        </w:rPr>
      </w:pPr>
      <w:r w:rsidRPr="006A448D">
        <w:rPr>
          <w:bCs/>
          <w:iCs/>
          <w:color w:val="auto"/>
          <w:shd w:val="clear" w:color="auto" w:fill="FFFFFF"/>
          <w:lang w:val="pt-BR"/>
        </w:rPr>
        <w:t xml:space="preserve">Trên đây là Tờ trình dự thảo </w:t>
      </w:r>
      <w:r w:rsidR="00036EA0" w:rsidRPr="006A448D">
        <w:rPr>
          <w:bCs/>
          <w:iCs/>
          <w:color w:val="auto"/>
          <w:shd w:val="clear" w:color="auto" w:fill="FFFFFF"/>
          <w:lang w:val="pt-BR"/>
        </w:rPr>
        <w:t xml:space="preserve">Nghị quyết </w:t>
      </w:r>
      <w:r w:rsidR="00E3119B" w:rsidRPr="00E3119B">
        <w:rPr>
          <w:bCs/>
          <w:iCs/>
          <w:color w:val="auto"/>
          <w:shd w:val="clear" w:color="auto" w:fill="FFFFFF"/>
          <w:lang w:val="pt-BR"/>
        </w:rPr>
        <w:t>quy định mức thu, chế độ thu, nộp, quản lý và sử dụng phí cung cấp thông tin về giao dịch bảo đảm bằng quyền sử dụng đất, quyền sở hữu tài sản gắn liền với đất trên địa bàn tỉnh An Giang</w:t>
      </w:r>
      <w:r w:rsidR="00036EA0" w:rsidRPr="006A448D">
        <w:rPr>
          <w:bCs/>
          <w:iCs/>
          <w:color w:val="auto"/>
          <w:shd w:val="clear" w:color="auto" w:fill="FFFFFF"/>
          <w:lang w:val="pt-BR"/>
        </w:rPr>
        <w:t>, Ủy ban nhân dân tỉnh kính trình Thường trực Hội đồng nhân dân tỉnh xem xét, quyết định</w:t>
      </w:r>
      <w:r w:rsidRPr="006A448D">
        <w:rPr>
          <w:bCs/>
          <w:iCs/>
          <w:color w:val="auto"/>
          <w:shd w:val="clear" w:color="auto" w:fill="FFFFFF"/>
          <w:lang w:val="pt-BR"/>
        </w:rPr>
        <w:t>./.</w:t>
      </w:r>
    </w:p>
    <w:p w14:paraId="6B4BA041" w14:textId="5E724B3E" w:rsidR="00C82B59" w:rsidRPr="006A448D" w:rsidRDefault="00CD6221" w:rsidP="00CD6221">
      <w:pPr>
        <w:spacing w:before="120" w:after="120"/>
        <w:ind w:firstLine="720"/>
        <w:jc w:val="both"/>
        <w:rPr>
          <w:i/>
          <w:color w:val="auto"/>
          <w:lang w:val="vi-VN"/>
        </w:rPr>
      </w:pPr>
      <w:r w:rsidRPr="006A448D">
        <w:rPr>
          <w:i/>
          <w:color w:val="auto"/>
          <w:lang w:val="vi-VN"/>
        </w:rPr>
        <w:t>(Xin gửi k</w:t>
      </w:r>
      <w:r w:rsidR="001D2C3D" w:rsidRPr="006A448D">
        <w:rPr>
          <w:i/>
          <w:color w:val="auto"/>
          <w:lang w:val="vi-VN"/>
        </w:rPr>
        <w:t xml:space="preserve">èm theo: dự thảo </w:t>
      </w:r>
      <w:r w:rsidRPr="006A448D">
        <w:rPr>
          <w:i/>
          <w:color w:val="auto"/>
          <w:lang w:val="vi-VN"/>
        </w:rPr>
        <w:t>Nghị quyết</w:t>
      </w:r>
      <w:r w:rsidR="00036EA0" w:rsidRPr="006A448D">
        <w:rPr>
          <w:i/>
          <w:color w:val="auto"/>
          <w:lang w:val="vi-VN"/>
        </w:rPr>
        <w:t>, Bản so sánh, thuyết minh nội dung dự thảo</w:t>
      </w:r>
      <w:r w:rsidRPr="006A448D">
        <w:rPr>
          <w:i/>
          <w:color w:val="auto"/>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A448D" w:rsidRPr="001C45AD" w14:paraId="4F95001D" w14:textId="77777777" w:rsidTr="00C318B7">
        <w:tc>
          <w:tcPr>
            <w:tcW w:w="4531" w:type="dxa"/>
          </w:tcPr>
          <w:p w14:paraId="4FC2D4FA" w14:textId="77777777" w:rsidR="002103D5" w:rsidRPr="006A448D" w:rsidRDefault="002103D5" w:rsidP="00C318B7">
            <w:pPr>
              <w:pStyle w:val="BodyTextIndent3"/>
              <w:spacing w:before="0"/>
              <w:ind w:firstLine="0"/>
              <w:rPr>
                <w:rFonts w:ascii="Times New Roman" w:hAnsi="Times New Roman"/>
                <w:b/>
                <w:i/>
                <w:color w:val="auto"/>
                <w:sz w:val="24"/>
                <w:lang w:val="vi-VN"/>
              </w:rPr>
            </w:pPr>
            <w:r w:rsidRPr="006A448D">
              <w:rPr>
                <w:rFonts w:ascii="Times New Roman" w:hAnsi="Times New Roman"/>
                <w:b/>
                <w:i/>
                <w:color w:val="auto"/>
                <w:sz w:val="24"/>
                <w:lang w:val="vi-VN"/>
              </w:rPr>
              <w:lastRenderedPageBreak/>
              <w:t>Nơi nhận:</w:t>
            </w:r>
          </w:p>
          <w:p w14:paraId="501153F5" w14:textId="77777777" w:rsidR="00036EA0" w:rsidRPr="006A448D" w:rsidRDefault="00036EA0" w:rsidP="00036EA0">
            <w:pPr>
              <w:jc w:val="both"/>
              <w:rPr>
                <w:color w:val="auto"/>
                <w:sz w:val="22"/>
                <w:szCs w:val="22"/>
                <w:lang w:val="vi-VN"/>
              </w:rPr>
            </w:pPr>
            <w:r w:rsidRPr="006A448D">
              <w:rPr>
                <w:color w:val="auto"/>
                <w:sz w:val="22"/>
                <w:szCs w:val="22"/>
                <w:lang w:val="vi-VN"/>
              </w:rPr>
              <w:t>- Như trên;</w:t>
            </w:r>
          </w:p>
          <w:p w14:paraId="43CEBFC9" w14:textId="77777777" w:rsidR="00036EA0" w:rsidRPr="006A448D" w:rsidRDefault="00036EA0" w:rsidP="00036EA0">
            <w:pPr>
              <w:jc w:val="both"/>
              <w:rPr>
                <w:color w:val="auto"/>
                <w:sz w:val="22"/>
                <w:szCs w:val="22"/>
                <w:lang w:val="vi-VN"/>
              </w:rPr>
            </w:pPr>
            <w:r w:rsidRPr="006A448D">
              <w:rPr>
                <w:color w:val="auto"/>
                <w:sz w:val="22"/>
                <w:szCs w:val="22"/>
                <w:lang w:val="vi-VN"/>
              </w:rPr>
              <w:t>- Thành viên UBND tỉnh;</w:t>
            </w:r>
          </w:p>
          <w:p w14:paraId="6DA05D6E" w14:textId="77777777" w:rsidR="00036EA0" w:rsidRPr="006A448D" w:rsidRDefault="00036EA0" w:rsidP="00036EA0">
            <w:pPr>
              <w:jc w:val="both"/>
              <w:rPr>
                <w:color w:val="auto"/>
                <w:sz w:val="22"/>
                <w:szCs w:val="22"/>
                <w:lang w:val="vi-VN"/>
              </w:rPr>
            </w:pPr>
            <w:r w:rsidRPr="006A448D">
              <w:rPr>
                <w:color w:val="auto"/>
                <w:sz w:val="22"/>
                <w:szCs w:val="22"/>
                <w:lang w:val="vi-VN"/>
              </w:rPr>
              <w:t>- Ban Pháp chế HĐND tỉnh;</w:t>
            </w:r>
          </w:p>
          <w:p w14:paraId="3C2D35E1" w14:textId="77777777" w:rsidR="00036EA0" w:rsidRPr="006A448D" w:rsidRDefault="00036EA0" w:rsidP="00036EA0">
            <w:pPr>
              <w:jc w:val="both"/>
              <w:rPr>
                <w:color w:val="auto"/>
                <w:sz w:val="22"/>
                <w:szCs w:val="22"/>
                <w:lang w:val="vi-VN"/>
              </w:rPr>
            </w:pPr>
            <w:r w:rsidRPr="006A448D">
              <w:rPr>
                <w:color w:val="auto"/>
                <w:sz w:val="22"/>
                <w:szCs w:val="22"/>
                <w:lang w:val="vi-VN"/>
              </w:rPr>
              <w:t>- Sở Tư pháp;</w:t>
            </w:r>
          </w:p>
          <w:p w14:paraId="2D78C863" w14:textId="77777777" w:rsidR="00036EA0" w:rsidRPr="006A448D" w:rsidRDefault="00036EA0" w:rsidP="00036EA0">
            <w:pPr>
              <w:jc w:val="both"/>
              <w:rPr>
                <w:color w:val="auto"/>
                <w:sz w:val="22"/>
                <w:szCs w:val="22"/>
                <w:lang w:val="vi-VN"/>
              </w:rPr>
            </w:pPr>
            <w:r w:rsidRPr="006A448D">
              <w:rPr>
                <w:color w:val="auto"/>
                <w:sz w:val="22"/>
                <w:szCs w:val="22"/>
                <w:lang w:val="vi-VN"/>
              </w:rPr>
              <w:t>- Sở Nội vụ;</w:t>
            </w:r>
          </w:p>
          <w:p w14:paraId="0DAC5B07" w14:textId="77777777" w:rsidR="00036EA0" w:rsidRPr="006A448D" w:rsidRDefault="00036EA0" w:rsidP="00036EA0">
            <w:pPr>
              <w:jc w:val="both"/>
              <w:rPr>
                <w:color w:val="auto"/>
                <w:sz w:val="22"/>
                <w:szCs w:val="22"/>
                <w:lang w:val="vi-VN"/>
              </w:rPr>
            </w:pPr>
            <w:r w:rsidRPr="006A448D">
              <w:rPr>
                <w:color w:val="auto"/>
                <w:sz w:val="22"/>
                <w:szCs w:val="22"/>
                <w:lang w:val="vi-VN"/>
              </w:rPr>
              <w:t>- Sở Tài chính;</w:t>
            </w:r>
          </w:p>
          <w:p w14:paraId="282CE5F3" w14:textId="77777777" w:rsidR="00036EA0" w:rsidRPr="006A448D" w:rsidRDefault="00036EA0" w:rsidP="00036EA0">
            <w:pPr>
              <w:jc w:val="both"/>
              <w:rPr>
                <w:color w:val="auto"/>
                <w:sz w:val="22"/>
                <w:szCs w:val="22"/>
                <w:lang w:val="vi-VN"/>
              </w:rPr>
            </w:pPr>
            <w:r w:rsidRPr="006A448D">
              <w:rPr>
                <w:color w:val="auto"/>
                <w:sz w:val="22"/>
                <w:szCs w:val="22"/>
                <w:lang w:val="vi-VN"/>
              </w:rPr>
              <w:t>- LĐVP, P. NC;</w:t>
            </w:r>
          </w:p>
          <w:p w14:paraId="0C2EB7A4" w14:textId="5D7E5CEA" w:rsidR="002103D5" w:rsidRPr="006A448D" w:rsidRDefault="00036EA0" w:rsidP="00036EA0">
            <w:pPr>
              <w:pStyle w:val="BodyTextIndent"/>
              <w:ind w:firstLine="0"/>
              <w:rPr>
                <w:rFonts w:ascii="Times New Roman" w:hAnsi="Times New Roman"/>
                <w:b w:val="0"/>
                <w:bCs w:val="0"/>
                <w:color w:val="auto"/>
                <w:lang w:val="vi-VN"/>
              </w:rPr>
            </w:pPr>
            <w:r w:rsidRPr="006A448D">
              <w:rPr>
                <w:rFonts w:ascii="Times New Roman" w:hAnsi="Times New Roman"/>
                <w:b w:val="0"/>
                <w:bCs w:val="0"/>
                <w:color w:val="auto"/>
                <w:sz w:val="22"/>
                <w:szCs w:val="22"/>
                <w:lang w:val="vi-VN"/>
              </w:rPr>
              <w:t>- Lưu: VT,...</w:t>
            </w:r>
          </w:p>
        </w:tc>
        <w:tc>
          <w:tcPr>
            <w:tcW w:w="4531" w:type="dxa"/>
          </w:tcPr>
          <w:p w14:paraId="7747C8B8" w14:textId="5063D93A" w:rsidR="002103D5" w:rsidRPr="006A448D" w:rsidRDefault="0036012A" w:rsidP="00C318B7">
            <w:pPr>
              <w:pStyle w:val="BodyTextIndent3"/>
              <w:spacing w:before="0"/>
              <w:ind w:firstLine="0"/>
              <w:jc w:val="center"/>
              <w:rPr>
                <w:rFonts w:ascii="Times New Roman" w:hAnsi="Times New Roman"/>
                <w:b/>
                <w:color w:val="auto"/>
                <w:lang w:val="vi-VN"/>
              </w:rPr>
            </w:pPr>
            <w:r w:rsidRPr="006A448D">
              <w:rPr>
                <w:rFonts w:ascii="Times New Roman" w:hAnsi="Times New Roman"/>
                <w:b/>
                <w:color w:val="auto"/>
                <w:lang w:val="vi-VN"/>
              </w:rPr>
              <w:t>TM</w:t>
            </w:r>
            <w:r w:rsidR="002103D5" w:rsidRPr="006A448D">
              <w:rPr>
                <w:rFonts w:ascii="Times New Roman" w:hAnsi="Times New Roman"/>
                <w:b/>
                <w:color w:val="auto"/>
                <w:lang w:val="vi-VN"/>
              </w:rPr>
              <w:t xml:space="preserve">. </w:t>
            </w:r>
            <w:r w:rsidRPr="006A448D">
              <w:rPr>
                <w:rFonts w:ascii="Times New Roman" w:hAnsi="Times New Roman"/>
                <w:b/>
                <w:color w:val="auto"/>
                <w:lang w:val="vi-VN"/>
              </w:rPr>
              <w:t>ỦY BAN NHÂN DÂN</w:t>
            </w:r>
          </w:p>
          <w:p w14:paraId="17EC3940" w14:textId="635265B5" w:rsidR="002103D5" w:rsidRPr="006A448D" w:rsidRDefault="0036012A" w:rsidP="00C318B7">
            <w:pPr>
              <w:pStyle w:val="BodyTextIndent3"/>
              <w:spacing w:before="0"/>
              <w:ind w:firstLine="0"/>
              <w:jc w:val="center"/>
              <w:rPr>
                <w:rFonts w:ascii="Times New Roman" w:hAnsi="Times New Roman"/>
                <w:b/>
                <w:color w:val="auto"/>
                <w:lang w:val="vi-VN"/>
              </w:rPr>
            </w:pPr>
            <w:r w:rsidRPr="006A448D">
              <w:rPr>
                <w:rFonts w:ascii="Times New Roman" w:hAnsi="Times New Roman"/>
                <w:b/>
                <w:color w:val="auto"/>
                <w:lang w:val="vi-VN"/>
              </w:rPr>
              <w:t>CHỦ TỊCH</w:t>
            </w:r>
          </w:p>
          <w:p w14:paraId="5C5D1035" w14:textId="77777777" w:rsidR="002103D5" w:rsidRPr="006A448D" w:rsidRDefault="002103D5" w:rsidP="00C318B7">
            <w:pPr>
              <w:pStyle w:val="BodyTextIndent3"/>
              <w:spacing w:before="0"/>
              <w:ind w:firstLine="0"/>
              <w:jc w:val="center"/>
              <w:rPr>
                <w:rFonts w:ascii="Times New Roman" w:hAnsi="Times New Roman"/>
                <w:b/>
                <w:color w:val="auto"/>
                <w:lang w:val="vi-VN"/>
              </w:rPr>
            </w:pPr>
          </w:p>
          <w:p w14:paraId="7943B7CA" w14:textId="77777777" w:rsidR="002103D5" w:rsidRPr="006A448D" w:rsidRDefault="002103D5" w:rsidP="00C318B7">
            <w:pPr>
              <w:pStyle w:val="BodyTextIndent3"/>
              <w:spacing w:before="0"/>
              <w:ind w:firstLine="0"/>
              <w:jc w:val="center"/>
              <w:rPr>
                <w:rFonts w:ascii="Times New Roman" w:hAnsi="Times New Roman"/>
                <w:b/>
                <w:color w:val="auto"/>
                <w:lang w:val="vi-VN"/>
              </w:rPr>
            </w:pPr>
          </w:p>
          <w:p w14:paraId="69A0E099" w14:textId="34CD5F53" w:rsidR="002103D5" w:rsidRPr="006A448D" w:rsidRDefault="002103D5" w:rsidP="00C318B7">
            <w:pPr>
              <w:pStyle w:val="BodyTextIndent3"/>
              <w:spacing w:before="0"/>
              <w:ind w:firstLine="0"/>
              <w:jc w:val="center"/>
              <w:rPr>
                <w:rFonts w:ascii="Times New Roman" w:hAnsi="Times New Roman"/>
                <w:b/>
                <w:color w:val="auto"/>
                <w:lang w:val="vi-VN"/>
              </w:rPr>
            </w:pPr>
          </w:p>
          <w:p w14:paraId="45CEB22B" w14:textId="639A50A7" w:rsidR="002A3AB2" w:rsidRPr="006A448D" w:rsidRDefault="002A3AB2" w:rsidP="00C318B7">
            <w:pPr>
              <w:pStyle w:val="BodyTextIndent3"/>
              <w:spacing w:before="0"/>
              <w:ind w:firstLine="0"/>
              <w:jc w:val="center"/>
              <w:rPr>
                <w:rFonts w:ascii="Times New Roman" w:hAnsi="Times New Roman"/>
                <w:b/>
                <w:color w:val="auto"/>
                <w:lang w:val="vi-VN"/>
              </w:rPr>
            </w:pPr>
          </w:p>
          <w:p w14:paraId="3214FD79" w14:textId="77777777" w:rsidR="00756FFB" w:rsidRPr="006A448D" w:rsidRDefault="00756FFB" w:rsidP="00C318B7">
            <w:pPr>
              <w:pStyle w:val="BodyTextIndent3"/>
              <w:spacing w:before="0"/>
              <w:ind w:firstLine="0"/>
              <w:jc w:val="center"/>
              <w:rPr>
                <w:rFonts w:ascii="Times New Roman" w:hAnsi="Times New Roman"/>
                <w:b/>
                <w:color w:val="auto"/>
                <w:lang w:val="vi-VN"/>
              </w:rPr>
            </w:pPr>
          </w:p>
          <w:p w14:paraId="5BD53582" w14:textId="77777777" w:rsidR="002103D5" w:rsidRPr="006A448D" w:rsidRDefault="002103D5" w:rsidP="00C318B7">
            <w:pPr>
              <w:pStyle w:val="BodyTextIndent3"/>
              <w:spacing w:before="0"/>
              <w:ind w:firstLine="0"/>
              <w:jc w:val="center"/>
              <w:rPr>
                <w:rFonts w:ascii="Times New Roman" w:hAnsi="Times New Roman"/>
                <w:b/>
                <w:color w:val="auto"/>
                <w:lang w:val="vi-VN"/>
              </w:rPr>
            </w:pPr>
          </w:p>
          <w:p w14:paraId="1D729398" w14:textId="6B14C62A" w:rsidR="002103D5" w:rsidRPr="006A448D" w:rsidRDefault="002103D5" w:rsidP="00C318B7">
            <w:pPr>
              <w:pStyle w:val="BodyTextIndent3"/>
              <w:spacing w:before="0"/>
              <w:ind w:firstLine="0"/>
              <w:jc w:val="center"/>
              <w:rPr>
                <w:rFonts w:ascii="Times New Roman" w:hAnsi="Times New Roman"/>
                <w:b/>
                <w:color w:val="auto"/>
                <w:lang w:val="vi-VN"/>
              </w:rPr>
            </w:pPr>
          </w:p>
        </w:tc>
      </w:tr>
    </w:tbl>
    <w:p w14:paraId="223246D5" w14:textId="77777777" w:rsidR="002103D5" w:rsidRPr="006A448D" w:rsidRDefault="002103D5" w:rsidP="002103D5">
      <w:pPr>
        <w:rPr>
          <w:b/>
          <w:bCs/>
          <w:color w:val="auto"/>
          <w:sz w:val="22"/>
          <w:szCs w:val="22"/>
          <w:lang w:val="vi-VN"/>
        </w:rPr>
      </w:pPr>
    </w:p>
    <w:p w14:paraId="7DD41B3D" w14:textId="77777777" w:rsidR="002103D5" w:rsidRPr="006A448D" w:rsidRDefault="002103D5" w:rsidP="002103D5">
      <w:pPr>
        <w:rPr>
          <w:color w:val="auto"/>
          <w:lang w:val="vi-VN"/>
        </w:rPr>
      </w:pPr>
    </w:p>
    <w:p w14:paraId="2D750E20" w14:textId="77777777" w:rsidR="002103D5" w:rsidRPr="006A448D" w:rsidRDefault="002103D5">
      <w:pPr>
        <w:rPr>
          <w:color w:val="auto"/>
          <w:lang w:val="vi-VN"/>
        </w:rPr>
      </w:pPr>
    </w:p>
    <w:p w14:paraId="117519E1" w14:textId="77777777" w:rsidR="00D24EC3" w:rsidRPr="006A448D" w:rsidRDefault="00D24EC3">
      <w:pPr>
        <w:rPr>
          <w:color w:val="auto"/>
          <w:lang w:val="vi-VN"/>
        </w:rPr>
      </w:pPr>
    </w:p>
    <w:sectPr w:rsidR="00D24EC3" w:rsidRPr="006A448D" w:rsidSect="00756FFB">
      <w:headerReference w:type="default" r:id="rId7"/>
      <w:footerReference w:type="even" r:id="rId8"/>
      <w:footerReference w:type="default" r:id="rId9"/>
      <w:pgSz w:w="11907" w:h="16840" w:code="9"/>
      <w:pgMar w:top="1021" w:right="964" w:bottom="1021" w:left="1531" w:header="510" w:footer="567"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ED0024" w14:textId="77777777" w:rsidR="002C5A6A" w:rsidRDefault="002C5A6A">
      <w:r>
        <w:separator/>
      </w:r>
    </w:p>
  </w:endnote>
  <w:endnote w:type="continuationSeparator" w:id="0">
    <w:p w14:paraId="3F4CF5B2" w14:textId="77777777" w:rsidR="002C5A6A" w:rsidRDefault="002C5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7DE4F" w14:textId="77777777" w:rsidR="00C318B7" w:rsidRDefault="00C318B7" w:rsidP="00C318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9B83FC3" w14:textId="77777777" w:rsidR="00C318B7" w:rsidRDefault="00C318B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CA278" w14:textId="77777777" w:rsidR="00C318B7" w:rsidRPr="0034617C" w:rsidRDefault="00C318B7">
    <w:pPr>
      <w:pStyle w:val="Footer"/>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F2AF8C" w14:textId="77777777" w:rsidR="002C5A6A" w:rsidRDefault="002C5A6A">
      <w:r>
        <w:separator/>
      </w:r>
    </w:p>
  </w:footnote>
  <w:footnote w:type="continuationSeparator" w:id="0">
    <w:p w14:paraId="0E382042" w14:textId="77777777" w:rsidR="002C5A6A" w:rsidRDefault="002C5A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6486236"/>
      <w:docPartObj>
        <w:docPartGallery w:val="Page Numbers (Top of Page)"/>
        <w:docPartUnique/>
      </w:docPartObj>
    </w:sdtPr>
    <w:sdtEndPr>
      <w:rPr>
        <w:noProof/>
        <w:color w:val="auto"/>
      </w:rPr>
    </w:sdtEndPr>
    <w:sdtContent>
      <w:p w14:paraId="795B076B" w14:textId="77777777" w:rsidR="00C318B7" w:rsidRPr="009116D6" w:rsidRDefault="00C318B7">
        <w:pPr>
          <w:pStyle w:val="Header"/>
          <w:jc w:val="center"/>
          <w:rPr>
            <w:color w:val="auto"/>
          </w:rPr>
        </w:pPr>
        <w:r w:rsidRPr="009116D6">
          <w:rPr>
            <w:color w:val="auto"/>
          </w:rPr>
          <w:fldChar w:fldCharType="begin"/>
        </w:r>
        <w:r w:rsidRPr="009116D6">
          <w:rPr>
            <w:color w:val="auto"/>
          </w:rPr>
          <w:instrText xml:space="preserve"> PAGE   \* MERGEFORMAT </w:instrText>
        </w:r>
        <w:r w:rsidRPr="009116D6">
          <w:rPr>
            <w:color w:val="auto"/>
          </w:rPr>
          <w:fldChar w:fldCharType="separate"/>
        </w:r>
        <w:r w:rsidR="001C45AD">
          <w:rPr>
            <w:noProof/>
            <w:color w:val="auto"/>
          </w:rPr>
          <w:t>3</w:t>
        </w:r>
        <w:r w:rsidRPr="009116D6">
          <w:rPr>
            <w:noProof/>
            <w:color w:val="auto"/>
          </w:rPr>
          <w:fldChar w:fldCharType="end"/>
        </w:r>
      </w:p>
    </w:sdtContent>
  </w:sdt>
  <w:p w14:paraId="34387BA6" w14:textId="77777777" w:rsidR="00C318B7" w:rsidRDefault="00C318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3D5"/>
    <w:rsid w:val="0000629E"/>
    <w:rsid w:val="00010C1C"/>
    <w:rsid w:val="00036EA0"/>
    <w:rsid w:val="00043347"/>
    <w:rsid w:val="000A592C"/>
    <w:rsid w:val="000C1656"/>
    <w:rsid w:val="001B3FDB"/>
    <w:rsid w:val="001B6FB0"/>
    <w:rsid w:val="001C45AD"/>
    <w:rsid w:val="001D2C3D"/>
    <w:rsid w:val="001F3085"/>
    <w:rsid w:val="002103D5"/>
    <w:rsid w:val="002321EA"/>
    <w:rsid w:val="002A3AB2"/>
    <w:rsid w:val="002B2E61"/>
    <w:rsid w:val="002C5A6A"/>
    <w:rsid w:val="002F7CA0"/>
    <w:rsid w:val="00302A32"/>
    <w:rsid w:val="0031340D"/>
    <w:rsid w:val="0036012A"/>
    <w:rsid w:val="0038561C"/>
    <w:rsid w:val="00390787"/>
    <w:rsid w:val="003B6FA4"/>
    <w:rsid w:val="003E1BB0"/>
    <w:rsid w:val="004420E5"/>
    <w:rsid w:val="004464FD"/>
    <w:rsid w:val="00446A2E"/>
    <w:rsid w:val="00446CEB"/>
    <w:rsid w:val="00456812"/>
    <w:rsid w:val="00462FBF"/>
    <w:rsid w:val="0047122A"/>
    <w:rsid w:val="004A4F46"/>
    <w:rsid w:val="004B6591"/>
    <w:rsid w:val="004C486D"/>
    <w:rsid w:val="004E3B37"/>
    <w:rsid w:val="004F0CC8"/>
    <w:rsid w:val="00550271"/>
    <w:rsid w:val="005738BF"/>
    <w:rsid w:val="00583135"/>
    <w:rsid w:val="005B34FE"/>
    <w:rsid w:val="005B66B6"/>
    <w:rsid w:val="005E109E"/>
    <w:rsid w:val="005E6E51"/>
    <w:rsid w:val="005F3C72"/>
    <w:rsid w:val="005F7BB6"/>
    <w:rsid w:val="00613FB1"/>
    <w:rsid w:val="00624A0B"/>
    <w:rsid w:val="00624E8E"/>
    <w:rsid w:val="00636440"/>
    <w:rsid w:val="00676669"/>
    <w:rsid w:val="006838CA"/>
    <w:rsid w:val="0068500F"/>
    <w:rsid w:val="006957D0"/>
    <w:rsid w:val="006A448D"/>
    <w:rsid w:val="00724552"/>
    <w:rsid w:val="00756FFB"/>
    <w:rsid w:val="00780EDC"/>
    <w:rsid w:val="007A248F"/>
    <w:rsid w:val="007A7983"/>
    <w:rsid w:val="007B1924"/>
    <w:rsid w:val="007F0AE4"/>
    <w:rsid w:val="007F3FDB"/>
    <w:rsid w:val="00804A9F"/>
    <w:rsid w:val="00817F99"/>
    <w:rsid w:val="008429CA"/>
    <w:rsid w:val="00847F5E"/>
    <w:rsid w:val="00853C5F"/>
    <w:rsid w:val="008542CF"/>
    <w:rsid w:val="0086166E"/>
    <w:rsid w:val="008671B2"/>
    <w:rsid w:val="008844EB"/>
    <w:rsid w:val="00884F48"/>
    <w:rsid w:val="009048DD"/>
    <w:rsid w:val="00962680"/>
    <w:rsid w:val="009755FF"/>
    <w:rsid w:val="009908BD"/>
    <w:rsid w:val="00993912"/>
    <w:rsid w:val="009D6126"/>
    <w:rsid w:val="00A432B2"/>
    <w:rsid w:val="00A65CFA"/>
    <w:rsid w:val="00AB48CE"/>
    <w:rsid w:val="00AD3A73"/>
    <w:rsid w:val="00B21213"/>
    <w:rsid w:val="00B910AB"/>
    <w:rsid w:val="00B91DC4"/>
    <w:rsid w:val="00C02D68"/>
    <w:rsid w:val="00C0799B"/>
    <w:rsid w:val="00C30BE1"/>
    <w:rsid w:val="00C318B7"/>
    <w:rsid w:val="00C40ED9"/>
    <w:rsid w:val="00C6575C"/>
    <w:rsid w:val="00C73E1E"/>
    <w:rsid w:val="00C82B59"/>
    <w:rsid w:val="00C83031"/>
    <w:rsid w:val="00C85622"/>
    <w:rsid w:val="00C929D1"/>
    <w:rsid w:val="00CA1F25"/>
    <w:rsid w:val="00CB5A99"/>
    <w:rsid w:val="00CD6221"/>
    <w:rsid w:val="00D10B88"/>
    <w:rsid w:val="00D15496"/>
    <w:rsid w:val="00D24EC3"/>
    <w:rsid w:val="00D3068D"/>
    <w:rsid w:val="00D55BB1"/>
    <w:rsid w:val="00D93C23"/>
    <w:rsid w:val="00DA2959"/>
    <w:rsid w:val="00E100C5"/>
    <w:rsid w:val="00E142B7"/>
    <w:rsid w:val="00E3119B"/>
    <w:rsid w:val="00E351A1"/>
    <w:rsid w:val="00E7116A"/>
    <w:rsid w:val="00F05997"/>
    <w:rsid w:val="00F11BBE"/>
    <w:rsid w:val="00F228B4"/>
    <w:rsid w:val="00F57C26"/>
    <w:rsid w:val="00F71C19"/>
    <w:rsid w:val="00F77B5F"/>
    <w:rsid w:val="00FC41CE"/>
    <w:rsid w:val="00FC6526"/>
    <w:rsid w:val="00FD7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DC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3D5"/>
    <w:pPr>
      <w:spacing w:after="0" w:line="240" w:lineRule="auto"/>
    </w:pPr>
    <w:rPr>
      <w:rFonts w:ascii="Times New Roman" w:eastAsia="Times New Roman" w:hAnsi="Times New Roman" w:cs="Times New Roman"/>
      <w:color w:val="0000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103D5"/>
    <w:pPr>
      <w:tabs>
        <w:tab w:val="center" w:pos="4320"/>
        <w:tab w:val="right" w:pos="8640"/>
      </w:tabs>
    </w:pPr>
    <w:rPr>
      <w:rFonts w:ascii=".VnTime" w:hAnsi=".VnTime"/>
      <w:color w:val="000080"/>
      <w:spacing w:val="-4"/>
    </w:rPr>
  </w:style>
  <w:style w:type="character" w:customStyle="1" w:styleId="FooterChar">
    <w:name w:val="Footer Char"/>
    <w:basedOn w:val="DefaultParagraphFont"/>
    <w:link w:val="Footer"/>
    <w:rsid w:val="002103D5"/>
    <w:rPr>
      <w:rFonts w:ascii=".VnTime" w:eastAsia="Times New Roman" w:hAnsi=".VnTime" w:cs="Times New Roman"/>
      <w:color w:val="000080"/>
      <w:spacing w:val="-4"/>
      <w:sz w:val="28"/>
      <w:szCs w:val="28"/>
    </w:rPr>
  </w:style>
  <w:style w:type="character" w:styleId="PageNumber">
    <w:name w:val="page number"/>
    <w:basedOn w:val="DefaultParagraphFont"/>
    <w:rsid w:val="002103D5"/>
  </w:style>
  <w:style w:type="paragraph" w:styleId="BodyTextIndent">
    <w:name w:val="Body Text Indent"/>
    <w:basedOn w:val="Normal"/>
    <w:link w:val="BodyTextIndentChar"/>
    <w:rsid w:val="002103D5"/>
    <w:pPr>
      <w:ind w:firstLine="720"/>
      <w:jc w:val="both"/>
    </w:pPr>
    <w:rPr>
      <w:rFonts w:ascii=".VnTime" w:hAnsi=".VnTime"/>
      <w:b/>
      <w:bCs/>
    </w:rPr>
  </w:style>
  <w:style w:type="character" w:customStyle="1" w:styleId="BodyTextIndentChar">
    <w:name w:val="Body Text Indent Char"/>
    <w:basedOn w:val="DefaultParagraphFont"/>
    <w:link w:val="BodyTextIndent"/>
    <w:rsid w:val="002103D5"/>
    <w:rPr>
      <w:rFonts w:ascii=".VnTime" w:eastAsia="Times New Roman" w:hAnsi=".VnTime" w:cs="Times New Roman"/>
      <w:b/>
      <w:bCs/>
      <w:color w:val="0000FF"/>
      <w:sz w:val="28"/>
      <w:szCs w:val="28"/>
    </w:rPr>
  </w:style>
  <w:style w:type="paragraph" w:styleId="BodyTextIndent3">
    <w:name w:val="Body Text Indent 3"/>
    <w:basedOn w:val="Normal"/>
    <w:link w:val="BodyTextIndent3Char"/>
    <w:rsid w:val="002103D5"/>
    <w:pPr>
      <w:spacing w:before="60"/>
      <w:ind w:firstLine="720"/>
      <w:jc w:val="both"/>
    </w:pPr>
    <w:rPr>
      <w:rFonts w:ascii=".VnTime" w:hAnsi=".VnTime"/>
    </w:rPr>
  </w:style>
  <w:style w:type="character" w:customStyle="1" w:styleId="BodyTextIndent3Char">
    <w:name w:val="Body Text Indent 3 Char"/>
    <w:basedOn w:val="DefaultParagraphFont"/>
    <w:link w:val="BodyTextIndent3"/>
    <w:rsid w:val="002103D5"/>
    <w:rPr>
      <w:rFonts w:ascii=".VnTime" w:eastAsia="Times New Roman" w:hAnsi=".VnTime" w:cs="Times New Roman"/>
      <w:color w:val="0000FF"/>
      <w:sz w:val="28"/>
      <w:szCs w:val="28"/>
    </w:rPr>
  </w:style>
  <w:style w:type="paragraph" w:styleId="Header">
    <w:name w:val="header"/>
    <w:basedOn w:val="Normal"/>
    <w:link w:val="HeaderChar"/>
    <w:uiPriority w:val="99"/>
    <w:rsid w:val="002103D5"/>
    <w:pPr>
      <w:tabs>
        <w:tab w:val="center" w:pos="4320"/>
        <w:tab w:val="right" w:pos="8640"/>
      </w:tabs>
    </w:pPr>
  </w:style>
  <w:style w:type="character" w:customStyle="1" w:styleId="HeaderChar">
    <w:name w:val="Header Char"/>
    <w:basedOn w:val="DefaultParagraphFont"/>
    <w:link w:val="Header"/>
    <w:uiPriority w:val="99"/>
    <w:rsid w:val="002103D5"/>
    <w:rPr>
      <w:rFonts w:ascii="Times New Roman" w:eastAsia="Times New Roman" w:hAnsi="Times New Roman" w:cs="Times New Roman"/>
      <w:color w:val="0000FF"/>
      <w:sz w:val="28"/>
      <w:szCs w:val="28"/>
    </w:rPr>
  </w:style>
  <w:style w:type="table" w:styleId="TableGrid">
    <w:name w:val="Table Grid"/>
    <w:basedOn w:val="TableNormal"/>
    <w:uiPriority w:val="59"/>
    <w:rsid w:val="002103D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qFormat/>
    <w:rsid w:val="002103D5"/>
    <w:pPr>
      <w:spacing w:before="240" w:after="240" w:line="380" w:lineRule="exact"/>
      <w:ind w:left="720"/>
      <w:jc w:val="both"/>
    </w:pPr>
    <w:rPr>
      <w:rFonts w:ascii="Tahoma" w:hAnsi="Tahoma"/>
      <w:color w:val="auto"/>
      <w:sz w:val="24"/>
      <w:szCs w:val="24"/>
      <w:lang w:val="en-GB"/>
    </w:rPr>
  </w:style>
  <w:style w:type="character" w:customStyle="1" w:styleId="ListParagraphChar">
    <w:name w:val="List Paragraph Char"/>
    <w:link w:val="ListParagraph"/>
    <w:rsid w:val="002103D5"/>
    <w:rPr>
      <w:rFonts w:ascii="Tahoma" w:eastAsia="Times New Roman" w:hAnsi="Tahoma" w:cs="Times New Roman"/>
      <w:sz w:val="24"/>
      <w:szCs w:val="24"/>
      <w:lang w:val="en-GB"/>
    </w:rPr>
  </w:style>
  <w:style w:type="character" w:styleId="Emphasis">
    <w:name w:val="Emphasis"/>
    <w:basedOn w:val="DefaultParagraphFont"/>
    <w:uiPriority w:val="20"/>
    <w:qFormat/>
    <w:rsid w:val="002103D5"/>
    <w:rPr>
      <w:i/>
      <w:iCs/>
    </w:rPr>
  </w:style>
  <w:style w:type="paragraph" w:styleId="BodyTextIndent2">
    <w:name w:val="Body Text Indent 2"/>
    <w:basedOn w:val="Normal"/>
    <w:link w:val="BodyTextIndent2Char"/>
    <w:uiPriority w:val="99"/>
    <w:semiHidden/>
    <w:unhideWhenUsed/>
    <w:rsid w:val="002103D5"/>
    <w:pPr>
      <w:spacing w:after="120" w:line="480" w:lineRule="auto"/>
      <w:ind w:left="283"/>
    </w:pPr>
  </w:style>
  <w:style w:type="character" w:customStyle="1" w:styleId="BodyTextIndent2Char">
    <w:name w:val="Body Text Indent 2 Char"/>
    <w:basedOn w:val="DefaultParagraphFont"/>
    <w:link w:val="BodyTextIndent2"/>
    <w:uiPriority w:val="99"/>
    <w:semiHidden/>
    <w:rsid w:val="002103D5"/>
    <w:rPr>
      <w:rFonts w:ascii="Times New Roman" w:eastAsia="Times New Roman" w:hAnsi="Times New Roman" w:cs="Times New Roman"/>
      <w:color w:val="0000F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3D5"/>
    <w:pPr>
      <w:spacing w:after="0" w:line="240" w:lineRule="auto"/>
    </w:pPr>
    <w:rPr>
      <w:rFonts w:ascii="Times New Roman" w:eastAsia="Times New Roman" w:hAnsi="Times New Roman" w:cs="Times New Roman"/>
      <w:color w:val="0000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103D5"/>
    <w:pPr>
      <w:tabs>
        <w:tab w:val="center" w:pos="4320"/>
        <w:tab w:val="right" w:pos="8640"/>
      </w:tabs>
    </w:pPr>
    <w:rPr>
      <w:rFonts w:ascii=".VnTime" w:hAnsi=".VnTime"/>
      <w:color w:val="000080"/>
      <w:spacing w:val="-4"/>
    </w:rPr>
  </w:style>
  <w:style w:type="character" w:customStyle="1" w:styleId="FooterChar">
    <w:name w:val="Footer Char"/>
    <w:basedOn w:val="DefaultParagraphFont"/>
    <w:link w:val="Footer"/>
    <w:rsid w:val="002103D5"/>
    <w:rPr>
      <w:rFonts w:ascii=".VnTime" w:eastAsia="Times New Roman" w:hAnsi=".VnTime" w:cs="Times New Roman"/>
      <w:color w:val="000080"/>
      <w:spacing w:val="-4"/>
      <w:sz w:val="28"/>
      <w:szCs w:val="28"/>
    </w:rPr>
  </w:style>
  <w:style w:type="character" w:styleId="PageNumber">
    <w:name w:val="page number"/>
    <w:basedOn w:val="DefaultParagraphFont"/>
    <w:rsid w:val="002103D5"/>
  </w:style>
  <w:style w:type="paragraph" w:styleId="BodyTextIndent">
    <w:name w:val="Body Text Indent"/>
    <w:basedOn w:val="Normal"/>
    <w:link w:val="BodyTextIndentChar"/>
    <w:rsid w:val="002103D5"/>
    <w:pPr>
      <w:ind w:firstLine="720"/>
      <w:jc w:val="both"/>
    </w:pPr>
    <w:rPr>
      <w:rFonts w:ascii=".VnTime" w:hAnsi=".VnTime"/>
      <w:b/>
      <w:bCs/>
    </w:rPr>
  </w:style>
  <w:style w:type="character" w:customStyle="1" w:styleId="BodyTextIndentChar">
    <w:name w:val="Body Text Indent Char"/>
    <w:basedOn w:val="DefaultParagraphFont"/>
    <w:link w:val="BodyTextIndent"/>
    <w:rsid w:val="002103D5"/>
    <w:rPr>
      <w:rFonts w:ascii=".VnTime" w:eastAsia="Times New Roman" w:hAnsi=".VnTime" w:cs="Times New Roman"/>
      <w:b/>
      <w:bCs/>
      <w:color w:val="0000FF"/>
      <w:sz w:val="28"/>
      <w:szCs w:val="28"/>
    </w:rPr>
  </w:style>
  <w:style w:type="paragraph" w:styleId="BodyTextIndent3">
    <w:name w:val="Body Text Indent 3"/>
    <w:basedOn w:val="Normal"/>
    <w:link w:val="BodyTextIndent3Char"/>
    <w:rsid w:val="002103D5"/>
    <w:pPr>
      <w:spacing w:before="60"/>
      <w:ind w:firstLine="720"/>
      <w:jc w:val="both"/>
    </w:pPr>
    <w:rPr>
      <w:rFonts w:ascii=".VnTime" w:hAnsi=".VnTime"/>
    </w:rPr>
  </w:style>
  <w:style w:type="character" w:customStyle="1" w:styleId="BodyTextIndent3Char">
    <w:name w:val="Body Text Indent 3 Char"/>
    <w:basedOn w:val="DefaultParagraphFont"/>
    <w:link w:val="BodyTextIndent3"/>
    <w:rsid w:val="002103D5"/>
    <w:rPr>
      <w:rFonts w:ascii=".VnTime" w:eastAsia="Times New Roman" w:hAnsi=".VnTime" w:cs="Times New Roman"/>
      <w:color w:val="0000FF"/>
      <w:sz w:val="28"/>
      <w:szCs w:val="28"/>
    </w:rPr>
  </w:style>
  <w:style w:type="paragraph" w:styleId="Header">
    <w:name w:val="header"/>
    <w:basedOn w:val="Normal"/>
    <w:link w:val="HeaderChar"/>
    <w:uiPriority w:val="99"/>
    <w:rsid w:val="002103D5"/>
    <w:pPr>
      <w:tabs>
        <w:tab w:val="center" w:pos="4320"/>
        <w:tab w:val="right" w:pos="8640"/>
      </w:tabs>
    </w:pPr>
  </w:style>
  <w:style w:type="character" w:customStyle="1" w:styleId="HeaderChar">
    <w:name w:val="Header Char"/>
    <w:basedOn w:val="DefaultParagraphFont"/>
    <w:link w:val="Header"/>
    <w:uiPriority w:val="99"/>
    <w:rsid w:val="002103D5"/>
    <w:rPr>
      <w:rFonts w:ascii="Times New Roman" w:eastAsia="Times New Roman" w:hAnsi="Times New Roman" w:cs="Times New Roman"/>
      <w:color w:val="0000FF"/>
      <w:sz w:val="28"/>
      <w:szCs w:val="28"/>
    </w:rPr>
  </w:style>
  <w:style w:type="table" w:styleId="TableGrid">
    <w:name w:val="Table Grid"/>
    <w:basedOn w:val="TableNormal"/>
    <w:uiPriority w:val="59"/>
    <w:rsid w:val="002103D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qFormat/>
    <w:rsid w:val="002103D5"/>
    <w:pPr>
      <w:spacing w:before="240" w:after="240" w:line="380" w:lineRule="exact"/>
      <w:ind w:left="720"/>
      <w:jc w:val="both"/>
    </w:pPr>
    <w:rPr>
      <w:rFonts w:ascii="Tahoma" w:hAnsi="Tahoma"/>
      <w:color w:val="auto"/>
      <w:sz w:val="24"/>
      <w:szCs w:val="24"/>
      <w:lang w:val="en-GB"/>
    </w:rPr>
  </w:style>
  <w:style w:type="character" w:customStyle="1" w:styleId="ListParagraphChar">
    <w:name w:val="List Paragraph Char"/>
    <w:link w:val="ListParagraph"/>
    <w:rsid w:val="002103D5"/>
    <w:rPr>
      <w:rFonts w:ascii="Tahoma" w:eastAsia="Times New Roman" w:hAnsi="Tahoma" w:cs="Times New Roman"/>
      <w:sz w:val="24"/>
      <w:szCs w:val="24"/>
      <w:lang w:val="en-GB"/>
    </w:rPr>
  </w:style>
  <w:style w:type="character" w:styleId="Emphasis">
    <w:name w:val="Emphasis"/>
    <w:basedOn w:val="DefaultParagraphFont"/>
    <w:uiPriority w:val="20"/>
    <w:qFormat/>
    <w:rsid w:val="002103D5"/>
    <w:rPr>
      <w:i/>
      <w:iCs/>
    </w:rPr>
  </w:style>
  <w:style w:type="paragraph" w:styleId="BodyTextIndent2">
    <w:name w:val="Body Text Indent 2"/>
    <w:basedOn w:val="Normal"/>
    <w:link w:val="BodyTextIndent2Char"/>
    <w:uiPriority w:val="99"/>
    <w:semiHidden/>
    <w:unhideWhenUsed/>
    <w:rsid w:val="002103D5"/>
    <w:pPr>
      <w:spacing w:after="120" w:line="480" w:lineRule="auto"/>
      <w:ind w:left="283"/>
    </w:pPr>
  </w:style>
  <w:style w:type="character" w:customStyle="1" w:styleId="BodyTextIndent2Char">
    <w:name w:val="Body Text Indent 2 Char"/>
    <w:basedOn w:val="DefaultParagraphFont"/>
    <w:link w:val="BodyTextIndent2"/>
    <w:uiPriority w:val="99"/>
    <w:semiHidden/>
    <w:rsid w:val="002103D5"/>
    <w:rPr>
      <w:rFonts w:ascii="Times New Roman" w:eastAsia="Times New Roman" w:hAnsi="Times New Roman" w:cs="Times New Roman"/>
      <w:color w:val="0000F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5</Pages>
  <Words>1504</Words>
  <Characters>8575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THUY</cp:lastModifiedBy>
  <cp:revision>21</cp:revision>
  <dcterms:created xsi:type="dcterms:W3CDTF">2026-04-16T01:35:00Z</dcterms:created>
  <dcterms:modified xsi:type="dcterms:W3CDTF">2026-04-17T08:21:00Z</dcterms:modified>
</cp:coreProperties>
</file>