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5" w:type="dxa"/>
        <w:jc w:val="center"/>
        <w:tblLook w:val="04A0" w:firstRow="1" w:lastRow="0" w:firstColumn="1" w:lastColumn="0" w:noHBand="0" w:noVBand="1"/>
      </w:tblPr>
      <w:tblGrid>
        <w:gridCol w:w="5103"/>
        <w:gridCol w:w="2305"/>
        <w:gridCol w:w="6947"/>
      </w:tblGrid>
      <w:tr w:rsidR="00BD04CF" w:rsidRPr="00371487" w14:paraId="2D902743" w14:textId="77777777" w:rsidTr="00691551">
        <w:trPr>
          <w:jc w:val="center"/>
        </w:trPr>
        <w:tc>
          <w:tcPr>
            <w:tcW w:w="5103" w:type="dxa"/>
          </w:tcPr>
          <w:p w14:paraId="024E0477" w14:textId="77777777" w:rsidR="00BD04CF" w:rsidRPr="00371487" w:rsidRDefault="00BD04CF" w:rsidP="00BD04CF">
            <w:pPr>
              <w:spacing w:before="20" w:line="24" w:lineRule="atLeast"/>
              <w:jc w:val="center"/>
              <w:rPr>
                <w:bCs/>
                <w:sz w:val="26"/>
                <w:szCs w:val="26"/>
              </w:rPr>
            </w:pPr>
            <w:r w:rsidRPr="00371487">
              <w:rPr>
                <w:bCs/>
                <w:sz w:val="26"/>
                <w:szCs w:val="26"/>
              </w:rPr>
              <w:t>UBND TỈNH AN GIANG</w:t>
            </w:r>
          </w:p>
          <w:p w14:paraId="060DFF42" w14:textId="77777777" w:rsidR="00BD04CF" w:rsidRPr="00371487" w:rsidRDefault="00BD04CF" w:rsidP="00BD04CF">
            <w:pPr>
              <w:spacing w:before="20" w:line="24" w:lineRule="atLeast"/>
              <w:jc w:val="center"/>
              <w:rPr>
                <w:b/>
                <w:sz w:val="26"/>
                <w:szCs w:val="26"/>
              </w:rPr>
            </w:pPr>
            <w:r w:rsidRPr="00371487">
              <w:rPr>
                <w:b/>
                <w:sz w:val="26"/>
                <w:szCs w:val="26"/>
              </w:rPr>
              <w:t>SỞ NÔNG NGHIỆP VÀ MÔI TRƯỜNG</w:t>
            </w:r>
          </w:p>
        </w:tc>
        <w:tc>
          <w:tcPr>
            <w:tcW w:w="2305" w:type="dxa"/>
          </w:tcPr>
          <w:p w14:paraId="62063907" w14:textId="77777777" w:rsidR="00BD04CF" w:rsidRPr="00371487" w:rsidRDefault="00BD04CF" w:rsidP="00BD04CF">
            <w:pPr>
              <w:spacing w:before="20" w:line="24" w:lineRule="atLeast"/>
              <w:jc w:val="center"/>
              <w:rPr>
                <w:b/>
                <w:sz w:val="26"/>
                <w:szCs w:val="26"/>
              </w:rPr>
            </w:pPr>
          </w:p>
        </w:tc>
        <w:tc>
          <w:tcPr>
            <w:tcW w:w="6947" w:type="dxa"/>
          </w:tcPr>
          <w:p w14:paraId="23C6BF44" w14:textId="77777777" w:rsidR="00691551" w:rsidRPr="00371487" w:rsidRDefault="00BD04CF" w:rsidP="00BD04CF">
            <w:pPr>
              <w:spacing w:before="20" w:line="24" w:lineRule="atLeast"/>
              <w:jc w:val="center"/>
              <w:rPr>
                <w:b/>
                <w:sz w:val="28"/>
                <w:szCs w:val="28"/>
              </w:rPr>
            </w:pPr>
            <w:r w:rsidRPr="00371487">
              <w:rPr>
                <w:b/>
                <w:sz w:val="26"/>
                <w:szCs w:val="26"/>
              </w:rPr>
              <w:t>CỘNG HÒA XÃ HỘI CHỦ NGHĨA VIỆT NAM</w:t>
            </w:r>
            <w:r w:rsidRPr="00371487">
              <w:rPr>
                <w:b/>
                <w:sz w:val="28"/>
                <w:szCs w:val="28"/>
              </w:rPr>
              <w:t xml:space="preserve"> </w:t>
            </w:r>
          </w:p>
          <w:p w14:paraId="1AA45651" w14:textId="77777777" w:rsidR="00BD04CF" w:rsidRPr="00371487" w:rsidRDefault="00BD04CF" w:rsidP="00BD04CF">
            <w:pPr>
              <w:spacing w:before="20" w:line="24" w:lineRule="atLeast"/>
              <w:jc w:val="center"/>
              <w:rPr>
                <w:b/>
                <w:sz w:val="26"/>
                <w:szCs w:val="26"/>
              </w:rPr>
            </w:pPr>
            <w:r w:rsidRPr="00371487">
              <w:rPr>
                <w:b/>
                <w:sz w:val="28"/>
                <w:szCs w:val="28"/>
              </w:rPr>
              <w:t>Độc lập - Tự do - Hạnh phúc</w:t>
            </w:r>
          </w:p>
        </w:tc>
      </w:tr>
      <w:tr w:rsidR="00BD04CF" w:rsidRPr="00371487" w14:paraId="5BAC6DB1" w14:textId="77777777" w:rsidTr="00691551">
        <w:trPr>
          <w:jc w:val="center"/>
        </w:trPr>
        <w:tc>
          <w:tcPr>
            <w:tcW w:w="5103" w:type="dxa"/>
          </w:tcPr>
          <w:p w14:paraId="0E3EF3E9" w14:textId="4CE3A132" w:rsidR="00BD04CF" w:rsidRPr="00371487" w:rsidRDefault="005C30E6" w:rsidP="00BD04CF">
            <w:pPr>
              <w:spacing w:before="240" w:line="24" w:lineRule="atLeast"/>
              <w:jc w:val="center"/>
              <w:rPr>
                <w:b/>
                <w:sz w:val="26"/>
                <w:szCs w:val="26"/>
              </w:rPr>
            </w:pPr>
            <w:r w:rsidRPr="00371487">
              <w:rPr>
                <w:b/>
                <w:noProof/>
                <w:sz w:val="28"/>
                <w:szCs w:val="26"/>
              </w:rPr>
              <mc:AlternateContent>
                <mc:Choice Requires="wps">
                  <w:drawing>
                    <wp:anchor distT="0" distB="0" distL="114300" distR="114300" simplePos="0" relativeHeight="251657216" behindDoc="0" locked="0" layoutInCell="1" allowOverlap="1" wp14:anchorId="17CD17C6" wp14:editId="3559B0E2">
                      <wp:simplePos x="0" y="0"/>
                      <wp:positionH relativeFrom="column">
                        <wp:posOffset>1161415</wp:posOffset>
                      </wp:positionH>
                      <wp:positionV relativeFrom="paragraph">
                        <wp:posOffset>38735</wp:posOffset>
                      </wp:positionV>
                      <wp:extent cx="720090" cy="0"/>
                      <wp:effectExtent l="6985" t="6350" r="6350" b="12700"/>
                      <wp:wrapNone/>
                      <wp:docPr id="19227484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040771" id="_x0000_t32" coordsize="21600,21600" o:spt="32" o:oned="t" path="m,l21600,21600e" filled="f">
                      <v:path arrowok="t" fillok="f" o:connecttype="none"/>
                      <o:lock v:ext="edit" shapetype="t"/>
                    </v:shapetype>
                    <v:shape id="AutoShape 25" o:spid="_x0000_s1026" type="#_x0000_t32" style="position:absolute;margin-left:91.45pt;margin-top:3.05pt;width:5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"/>
                  </w:pict>
                </mc:Fallback>
              </mc:AlternateContent>
            </w:r>
          </w:p>
        </w:tc>
        <w:tc>
          <w:tcPr>
            <w:tcW w:w="2305" w:type="dxa"/>
          </w:tcPr>
          <w:p w14:paraId="201FD876" w14:textId="77777777" w:rsidR="00BD04CF" w:rsidRPr="00371487" w:rsidRDefault="00BD04CF" w:rsidP="00BD04CF">
            <w:pPr>
              <w:spacing w:before="240" w:line="24" w:lineRule="atLeast"/>
              <w:jc w:val="center"/>
              <w:rPr>
                <w:noProof/>
                <w:sz w:val="32"/>
                <w:szCs w:val="28"/>
              </w:rPr>
            </w:pPr>
          </w:p>
        </w:tc>
        <w:tc>
          <w:tcPr>
            <w:tcW w:w="6947" w:type="dxa"/>
          </w:tcPr>
          <w:p w14:paraId="00BFDDCB" w14:textId="74AE2C0E" w:rsidR="00BD04CF" w:rsidRPr="00371487" w:rsidRDefault="005C30E6" w:rsidP="009F16C6">
            <w:pPr>
              <w:spacing w:before="240" w:line="24" w:lineRule="atLeast"/>
              <w:jc w:val="center"/>
              <w:rPr>
                <w:noProof/>
                <w:sz w:val="32"/>
                <w:szCs w:val="28"/>
              </w:rPr>
            </w:pPr>
            <w:r w:rsidRPr="00371487">
              <w:rPr>
                <w:noProof/>
                <w:sz w:val="32"/>
                <w:szCs w:val="28"/>
              </w:rPr>
              <mc:AlternateContent>
                <mc:Choice Requires="wps">
                  <w:drawing>
                    <wp:anchor distT="0" distB="0" distL="114300" distR="114300" simplePos="0" relativeHeight="251658240" behindDoc="0" locked="0" layoutInCell="1" allowOverlap="1" wp14:anchorId="3215B948" wp14:editId="3CD46B75">
                      <wp:simplePos x="0" y="0"/>
                      <wp:positionH relativeFrom="column">
                        <wp:posOffset>1075690</wp:posOffset>
                      </wp:positionH>
                      <wp:positionV relativeFrom="paragraph">
                        <wp:posOffset>30480</wp:posOffset>
                      </wp:positionV>
                      <wp:extent cx="2149475" cy="0"/>
                      <wp:effectExtent l="5715" t="7620" r="6985" b="11430"/>
                      <wp:wrapNone/>
                      <wp:docPr id="14685592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745479"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pt" to="25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"/>
                  </w:pict>
                </mc:Fallback>
              </mc:AlternateContent>
            </w:r>
            <w:r w:rsidR="009F16C6">
              <w:rPr>
                <w:i/>
                <w:sz w:val="28"/>
                <w:szCs w:val="28"/>
              </w:rPr>
              <w:t xml:space="preserve">An Giang, ngày 10 </w:t>
            </w:r>
            <w:r w:rsidR="00BD04CF" w:rsidRPr="00371487">
              <w:rPr>
                <w:i/>
                <w:sz w:val="28"/>
                <w:szCs w:val="28"/>
              </w:rPr>
              <w:t>tháng</w:t>
            </w:r>
            <w:r w:rsidR="009F16C6">
              <w:rPr>
                <w:i/>
                <w:sz w:val="28"/>
                <w:szCs w:val="28"/>
              </w:rPr>
              <w:t xml:space="preserve"> 4 n</w:t>
            </w:r>
            <w:r w:rsidR="00BD04CF" w:rsidRPr="00371487">
              <w:rPr>
                <w:i/>
                <w:sz w:val="28"/>
                <w:szCs w:val="28"/>
              </w:rPr>
              <w:t>ăm 202</w:t>
            </w:r>
            <w:r w:rsidR="00776C08">
              <w:rPr>
                <w:i/>
                <w:sz w:val="28"/>
                <w:szCs w:val="28"/>
              </w:rPr>
              <w:t>6</w:t>
            </w:r>
          </w:p>
        </w:tc>
      </w:tr>
    </w:tbl>
    <w:p w14:paraId="00F8FAF2" w14:textId="77777777" w:rsidR="000D633A" w:rsidRPr="00371487" w:rsidRDefault="003F5CC3" w:rsidP="00ED739A">
      <w:pPr>
        <w:spacing w:line="24" w:lineRule="atLeast"/>
        <w:jc w:val="both"/>
        <w:rPr>
          <w:b/>
          <w:sz w:val="26"/>
          <w:szCs w:val="26"/>
        </w:rPr>
      </w:pPr>
      <w:r w:rsidRPr="00371487">
        <w:rPr>
          <w:b/>
          <w:sz w:val="26"/>
          <w:szCs w:val="26"/>
        </w:rPr>
        <w:t xml:space="preserve">      </w:t>
      </w:r>
    </w:p>
    <w:p w14:paraId="576D77BB" w14:textId="71C94C1F" w:rsidR="00284E62" w:rsidRPr="00371487" w:rsidRDefault="00500AB3" w:rsidP="00C0145F">
      <w:pPr>
        <w:spacing w:before="120" w:line="24" w:lineRule="atLeast"/>
        <w:jc w:val="center"/>
        <w:rPr>
          <w:b/>
          <w:sz w:val="28"/>
          <w:szCs w:val="28"/>
        </w:rPr>
      </w:pPr>
      <w:r w:rsidRPr="00371487">
        <w:rPr>
          <w:b/>
          <w:sz w:val="28"/>
          <w:szCs w:val="28"/>
        </w:rPr>
        <w:t xml:space="preserve">BẢN </w:t>
      </w:r>
      <w:r w:rsidR="00042B26">
        <w:rPr>
          <w:b/>
          <w:sz w:val="28"/>
          <w:szCs w:val="28"/>
        </w:rPr>
        <w:t xml:space="preserve">SO SÁNH, THUYẾT MINH DỰ THẢO </w:t>
      </w:r>
      <w:r w:rsidR="00CD738D" w:rsidRPr="00CD738D">
        <w:rPr>
          <w:b/>
          <w:sz w:val="28"/>
          <w:szCs w:val="28"/>
        </w:rPr>
        <w:t>QUYẾT ĐỊNH QUY ĐỊNH PHÂN CẤP QUẢN LÝ DUY TU,</w:t>
      </w:r>
      <w:r w:rsidR="00CD738D">
        <w:rPr>
          <w:b/>
          <w:sz w:val="28"/>
          <w:szCs w:val="28"/>
        </w:rPr>
        <w:br/>
      </w:r>
      <w:r w:rsidR="00CD738D" w:rsidRPr="00CD738D">
        <w:rPr>
          <w:b/>
          <w:sz w:val="28"/>
          <w:szCs w:val="28"/>
        </w:rPr>
        <w:t>BẢO DƯỠNG HỆ THỐNG ĐÊ ĐIỀU TRÊN ĐỊA BÀN TỈNH AN GIANG</w:t>
      </w:r>
      <w:r w:rsidR="00CD738D">
        <w:rPr>
          <w:b/>
          <w:sz w:val="28"/>
          <w:szCs w:val="28"/>
        </w:rPr>
        <w:br/>
      </w:r>
      <w:r w:rsidR="00042B26">
        <w:rPr>
          <w:b/>
          <w:sz w:val="28"/>
          <w:szCs w:val="28"/>
        </w:rPr>
        <w:t>VỚI VĂN BẢN QUY PHẠM PHÁP LUẬT HIỆN HÀNH</w:t>
      </w:r>
    </w:p>
    <w:p w14:paraId="1D9712E8" w14:textId="77777777" w:rsidR="00500AB3" w:rsidRPr="00371487" w:rsidRDefault="00500AB3" w:rsidP="00284E62">
      <w:pPr>
        <w:ind w:firstLine="709"/>
        <w:jc w:val="both"/>
        <w:rPr>
          <w:sz w:val="28"/>
          <w:szCs w:val="28"/>
        </w:rPr>
      </w:pPr>
    </w:p>
    <w:p w14:paraId="47BD1D2E" w14:textId="77777777" w:rsidR="00500AB3" w:rsidRPr="00371487" w:rsidRDefault="00500AB3" w:rsidP="00284E62">
      <w:pPr>
        <w:ind w:firstLine="709"/>
        <w:jc w:val="both"/>
        <w:rPr>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6095"/>
        <w:gridCol w:w="3828"/>
      </w:tblGrid>
      <w:tr w:rsidR="006E37E2" w:rsidRPr="006E37E2" w14:paraId="008BB549" w14:textId="77777777" w:rsidTr="00667748">
        <w:trPr>
          <w:jc w:val="center"/>
        </w:trPr>
        <w:tc>
          <w:tcPr>
            <w:tcW w:w="5807" w:type="dxa"/>
            <w:vAlign w:val="center"/>
          </w:tcPr>
          <w:p w14:paraId="3D1551D1" w14:textId="5FF82EE4" w:rsidR="00042B26" w:rsidRPr="006E37E2" w:rsidRDefault="0026529A" w:rsidP="00AE6DAF">
            <w:pPr>
              <w:spacing w:before="60" w:after="60"/>
              <w:jc w:val="center"/>
              <w:rPr>
                <w:b/>
                <w:bCs/>
              </w:rPr>
            </w:pPr>
            <w:r w:rsidRPr="006E37E2">
              <w:rPr>
                <w:b/>
              </w:rPr>
              <w:t>Quyết định số 07/2022/QĐ-UBND ngày 13/5/2022 của Ủy ban nhân dân tỉnh Kiên Giang quy định phân cấp quản lý duy tu, bảo dưỡng hệ thống đê điều trên địa bàn tỉnh Kiên Giang.</w:t>
            </w:r>
          </w:p>
        </w:tc>
        <w:tc>
          <w:tcPr>
            <w:tcW w:w="6095" w:type="dxa"/>
            <w:vAlign w:val="center"/>
          </w:tcPr>
          <w:p w14:paraId="75F08C2D" w14:textId="3072D562" w:rsidR="00042B26" w:rsidRPr="006E37E2" w:rsidRDefault="00C0145F" w:rsidP="00AE6DAF">
            <w:pPr>
              <w:spacing w:before="60" w:after="60"/>
              <w:jc w:val="center"/>
              <w:rPr>
                <w:b/>
                <w:bCs/>
              </w:rPr>
            </w:pPr>
            <w:r w:rsidRPr="006E37E2">
              <w:rPr>
                <w:b/>
              </w:rPr>
              <w:t xml:space="preserve">Dự thảo Quyết định </w:t>
            </w:r>
            <w:r w:rsidRPr="006E37E2">
              <w:rPr>
                <w:b/>
                <w:highlight w:val="white"/>
                <w:lang w:val="en"/>
              </w:rPr>
              <w:t>quy định phân cấp quản lý công trình thủy lợi trên địa bàn tỉnh An Giang</w:t>
            </w:r>
          </w:p>
        </w:tc>
        <w:tc>
          <w:tcPr>
            <w:tcW w:w="3828" w:type="dxa"/>
            <w:vAlign w:val="center"/>
          </w:tcPr>
          <w:p w14:paraId="283E7E9A" w14:textId="4235D865" w:rsidR="00042B26" w:rsidRPr="006E37E2" w:rsidRDefault="00C0145F" w:rsidP="00AE6DAF">
            <w:pPr>
              <w:spacing w:before="60" w:after="60"/>
              <w:jc w:val="center"/>
              <w:rPr>
                <w:b/>
                <w:bCs/>
              </w:rPr>
            </w:pPr>
            <w:r w:rsidRPr="006E37E2">
              <w:rPr>
                <w:b/>
                <w:bCs/>
              </w:rPr>
              <w:t>Thuyết minh</w:t>
            </w:r>
          </w:p>
        </w:tc>
      </w:tr>
      <w:tr w:rsidR="006E37E2" w:rsidRPr="006E37E2" w14:paraId="4D2257B1" w14:textId="77777777" w:rsidTr="00667748">
        <w:trPr>
          <w:jc w:val="center"/>
        </w:trPr>
        <w:tc>
          <w:tcPr>
            <w:tcW w:w="5807" w:type="dxa"/>
          </w:tcPr>
          <w:p w14:paraId="03C5981B" w14:textId="0FBE3ACE" w:rsidR="000277FE" w:rsidRPr="006E37E2" w:rsidRDefault="00667748" w:rsidP="00A6293E">
            <w:pPr>
              <w:jc w:val="both"/>
              <w:rPr>
                <w:i/>
                <w:iCs/>
              </w:rPr>
            </w:pPr>
            <w:r w:rsidRPr="006E37E2">
              <w:rPr>
                <w:b/>
                <w:bCs/>
              </w:rPr>
              <w:t>Phần căn cứ pháp lý</w:t>
            </w:r>
            <w:r w:rsidRPr="006E37E2">
              <w:rPr>
                <w:i/>
                <w:iCs/>
              </w:rPr>
              <w:t>:</w:t>
            </w:r>
          </w:p>
          <w:p w14:paraId="53494C59" w14:textId="77777777" w:rsidR="00336FC5" w:rsidRPr="006E37E2" w:rsidRDefault="00336FC5" w:rsidP="00A6293E">
            <w:pPr>
              <w:ind w:firstLine="709"/>
              <w:jc w:val="both"/>
              <w:rPr>
                <w:i/>
                <w:iCs/>
              </w:rPr>
            </w:pPr>
            <w:r w:rsidRPr="006E37E2">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E02DE4E" w14:textId="77777777" w:rsidR="00336FC5" w:rsidRPr="006E37E2" w:rsidRDefault="00336FC5" w:rsidP="00A6293E">
            <w:pPr>
              <w:ind w:firstLine="709"/>
              <w:jc w:val="both"/>
              <w:rPr>
                <w:i/>
                <w:iCs/>
              </w:rPr>
            </w:pPr>
            <w:r w:rsidRPr="006E37E2">
              <w:rPr>
                <w:i/>
                <w:iCs/>
              </w:rPr>
              <w:t>Căn cứ Luật Ban hành văn bản quy phạm pháp luật ngày 22 tháng 6 năm 2015; Luật Sửa đổi, bổ sung một số điều của Luật Ban hành văn bản quy phạm pháp luật ngày 18 tháng 6 năm 2020;</w:t>
            </w:r>
          </w:p>
          <w:p w14:paraId="0F1731D4" w14:textId="77777777" w:rsidR="00336FC5" w:rsidRPr="006E37E2" w:rsidRDefault="00336FC5" w:rsidP="00A6293E">
            <w:pPr>
              <w:ind w:firstLine="720"/>
              <w:jc w:val="both"/>
              <w:rPr>
                <w:i/>
                <w:iCs/>
              </w:rPr>
            </w:pPr>
            <w:r w:rsidRPr="006E37E2">
              <w:rPr>
                <w:i/>
                <w:iCs/>
              </w:rPr>
              <w:t>Căn cứ Luật Đê điều ngày 29 tháng 11 năm 2006; Luật Sửa đổi, bổ sung một số điều của Luật Phòng, chống thiên tai và Luật Đê điều ngày 17 tháng 6 năm 2020;</w:t>
            </w:r>
          </w:p>
          <w:p w14:paraId="07DF3D2E" w14:textId="77777777" w:rsidR="00336FC5" w:rsidRPr="006E37E2" w:rsidRDefault="00336FC5" w:rsidP="00A6293E">
            <w:pPr>
              <w:jc w:val="both"/>
              <w:rPr>
                <w:i/>
                <w:iCs/>
              </w:rPr>
            </w:pPr>
            <w:r w:rsidRPr="006E37E2">
              <w:rPr>
                <w:i/>
                <w:iCs/>
              </w:rPr>
              <w:tab/>
              <w:t>Căn cứ Nghị định số 113/2007/NĐ-CP ngày 28 tháng 6 năm 2007 của Chính phủ quy định chi tiết và hướng dẫn thi hành một số điều của Luật Đê điều;</w:t>
            </w:r>
          </w:p>
          <w:p w14:paraId="05781D7C" w14:textId="48AD0136" w:rsidR="00667748" w:rsidRPr="006E37E2" w:rsidRDefault="00336FC5" w:rsidP="00A6293E">
            <w:pPr>
              <w:ind w:firstLine="720"/>
              <w:jc w:val="both"/>
              <w:rPr>
                <w:i/>
                <w:iCs/>
              </w:rPr>
            </w:pPr>
            <w:r w:rsidRPr="006E37E2">
              <w:rPr>
                <w:i/>
                <w:iCs/>
              </w:rPr>
              <w:t xml:space="preserve">Căn cứ Thông tư số 68/2020/TT-BTC ngày 15 tháng 7 năm 2020 của Bộ Tài chính quy định quản lý, sử dụng và thanh quyết toán kinh phí chi thường xuyên thực </w:t>
            </w:r>
            <w:r w:rsidRPr="006E37E2">
              <w:rPr>
                <w:i/>
                <w:iCs/>
              </w:rPr>
              <w:lastRenderedPageBreak/>
              <w:t>hiện duy tu, bảo dưỡng đê điều và xử lý cấp bách sự cố đê điều;</w:t>
            </w:r>
          </w:p>
        </w:tc>
        <w:tc>
          <w:tcPr>
            <w:tcW w:w="6095" w:type="dxa"/>
          </w:tcPr>
          <w:p w14:paraId="5EF0A69A" w14:textId="77777777" w:rsidR="00667748" w:rsidRPr="006E37E2" w:rsidRDefault="00667748" w:rsidP="00A6293E">
            <w:pPr>
              <w:jc w:val="both"/>
              <w:rPr>
                <w:b/>
                <w:bCs/>
              </w:rPr>
            </w:pPr>
            <w:r w:rsidRPr="006E37E2">
              <w:rPr>
                <w:b/>
                <w:bCs/>
              </w:rPr>
              <w:lastRenderedPageBreak/>
              <w:t>Phần căn cứ pháp lý:</w:t>
            </w:r>
          </w:p>
          <w:p w14:paraId="18E735B4" w14:textId="77777777" w:rsidR="00BC35F1" w:rsidRPr="006E37E2" w:rsidRDefault="00BC35F1" w:rsidP="00A6293E">
            <w:pPr>
              <w:ind w:firstLine="720"/>
              <w:jc w:val="both"/>
              <w:rPr>
                <w:i/>
                <w:iCs/>
              </w:rPr>
            </w:pPr>
            <w:r w:rsidRPr="006E37E2">
              <w:rPr>
                <w:i/>
                <w:iCs/>
              </w:rPr>
              <w:t xml:space="preserve">Căn cứ Luật Tổ chức chính quyền địa phương số 72/2025/QH15; </w:t>
            </w:r>
          </w:p>
          <w:p w14:paraId="7903F31C" w14:textId="77777777" w:rsidR="00BC35F1" w:rsidRPr="006E37E2" w:rsidRDefault="00BC35F1" w:rsidP="00A6293E">
            <w:pPr>
              <w:ind w:firstLine="720"/>
              <w:jc w:val="both"/>
              <w:rPr>
                <w:i/>
                <w:iCs/>
              </w:rPr>
            </w:pPr>
            <w:r w:rsidRPr="006E37E2">
              <w:rPr>
                <w:i/>
                <w:iCs/>
              </w:rPr>
              <w:t>Căn cứ Luật Ban hành văn bản quy phạm pháp luật số 64/2025/QH15 được sửa đổi, bổ sung bởi Luật số 87/2025/QH15;</w:t>
            </w:r>
          </w:p>
          <w:p w14:paraId="04DA9300" w14:textId="11AE3694" w:rsidR="003F0FBA" w:rsidRPr="003F0FBA" w:rsidRDefault="003F0FBA" w:rsidP="003F0FBA">
            <w:pPr>
              <w:ind w:firstLine="720"/>
              <w:jc w:val="both"/>
              <w:rPr>
                <w:i/>
                <w:iCs/>
              </w:rPr>
            </w:pPr>
            <w:r w:rsidRPr="003F0FBA">
              <w:rPr>
                <w:i/>
                <w:iCs/>
              </w:rPr>
              <w:t>Căn cứ Luật Đề điều số 79/2006/QH11 được sửa đổi, bổ sung một số điều bởi Luật số 35/2</w:t>
            </w:r>
            <w:r>
              <w:rPr>
                <w:i/>
                <w:iCs/>
              </w:rPr>
              <w:t xml:space="preserve">018/QH14, </w:t>
            </w:r>
            <w:bookmarkStart w:id="0" w:name="_GoBack"/>
            <w:bookmarkEnd w:id="0"/>
            <w:r w:rsidRPr="003F0FBA">
              <w:rPr>
                <w:i/>
                <w:iCs/>
              </w:rPr>
              <w:t>Luật số 60/2020/QH14 và Luật số 146/2025/QH15;</w:t>
            </w:r>
          </w:p>
          <w:p w14:paraId="366A2A87" w14:textId="37302AF0" w:rsidR="00BC35F1" w:rsidRPr="006E37E2" w:rsidRDefault="00BC35F1" w:rsidP="00A6293E">
            <w:pPr>
              <w:ind w:firstLine="720"/>
              <w:jc w:val="both"/>
              <w:rPr>
                <w:i/>
                <w:iCs/>
              </w:rPr>
            </w:pPr>
            <w:r w:rsidRPr="006E37E2">
              <w:rPr>
                <w:i/>
                <w:iCs/>
              </w:rPr>
              <w:t>Căn cứ Nghị định số 113/2007/NĐ-CP của Chính phủ quy định chi tiết và hướng dẫn thi hành một số điều của Luật Đê điều;</w:t>
            </w:r>
          </w:p>
          <w:p w14:paraId="21EE3F22" w14:textId="77777777" w:rsidR="00BC35F1" w:rsidRPr="006E37E2" w:rsidRDefault="00BC35F1" w:rsidP="00A6293E">
            <w:pPr>
              <w:ind w:firstLine="720"/>
              <w:jc w:val="both"/>
              <w:rPr>
                <w:i/>
                <w:iCs/>
              </w:rPr>
            </w:pPr>
            <w:r w:rsidRPr="006E37E2">
              <w:rPr>
                <w:i/>
                <w:iCs/>
              </w:rPr>
              <w:t>Căn cứ Nghị định số 53/2026/NĐ-CP của Chính phủ sửa đổi, bổ sung một số điều của các Nghị định trong lĩnh vực đê điều và phòng, chống thiên tai;</w:t>
            </w:r>
          </w:p>
          <w:p w14:paraId="4BF8B6C5" w14:textId="77777777" w:rsidR="00BC35F1" w:rsidRPr="006E37E2" w:rsidRDefault="00BC35F1" w:rsidP="00A6293E">
            <w:pPr>
              <w:ind w:firstLine="720"/>
              <w:jc w:val="both"/>
              <w:rPr>
                <w:i/>
                <w:iCs/>
              </w:rPr>
            </w:pPr>
            <w:r w:rsidRPr="006E37E2">
              <w:rPr>
                <w:i/>
                <w:iCs/>
              </w:rPr>
              <w:t xml:space="preserve">Căn cứ Thông tư số 25/2023/TT-BNNPTNT của Bộ Nông nghiệp và Phát triển nông thôn (nay là Bộ Nông nghiệp </w:t>
            </w:r>
            <w:r w:rsidRPr="006E37E2">
              <w:rPr>
                <w:i/>
                <w:iCs/>
              </w:rPr>
              <w:lastRenderedPageBreak/>
              <w:t>và Môi trường) hướng dẫn quy trình duy tu, bảo dưỡng đê điều và xử lý khẩn cấp (cấp bách) sự cố đê điều;</w:t>
            </w:r>
          </w:p>
          <w:p w14:paraId="12BD48A5" w14:textId="73A68C7C" w:rsidR="00042B26" w:rsidRPr="006E37E2" w:rsidRDefault="00BC35F1" w:rsidP="00A6293E">
            <w:pPr>
              <w:ind w:firstLine="720"/>
              <w:jc w:val="both"/>
              <w:rPr>
                <w:i/>
                <w:iCs/>
              </w:rPr>
            </w:pPr>
            <w:r w:rsidRPr="006E37E2">
              <w:rPr>
                <w:i/>
                <w:iCs/>
              </w:rPr>
              <w:t>Căn cứ Thông tư số 68/2020/TT-BTC của Bộ Tài chính quy định quản lý, sử dụng và thanh quyết toán kinh phí chi thường xuyên thực hiện duy tu, bảo dưỡng đê điều và xử lý cấp bách sự cố đê điều;</w:t>
            </w:r>
          </w:p>
        </w:tc>
        <w:tc>
          <w:tcPr>
            <w:tcW w:w="3828" w:type="dxa"/>
          </w:tcPr>
          <w:p w14:paraId="19A16D37" w14:textId="77777777" w:rsidR="007842CF" w:rsidRPr="006E37E2" w:rsidRDefault="007842CF" w:rsidP="00AE6DAF">
            <w:pPr>
              <w:spacing w:before="60" w:after="60"/>
              <w:jc w:val="both"/>
            </w:pPr>
            <w:r w:rsidRPr="006E37E2">
              <w:lastRenderedPageBreak/>
              <w:t xml:space="preserve">Dự thảo Quyết định đã rà soát, cập nhật và thay thế các căn cứ pháp lý theo hệ thống văn bản quy phạm pháp luật hiện hành. </w:t>
            </w:r>
          </w:p>
          <w:p w14:paraId="5BE0762C" w14:textId="31016A00" w:rsidR="000277FE" w:rsidRPr="006E37E2" w:rsidRDefault="007842CF" w:rsidP="00AE6DAF">
            <w:pPr>
              <w:spacing w:before="60" w:after="60"/>
              <w:jc w:val="both"/>
              <w:rPr>
                <w:b/>
                <w:bCs/>
                <w:iCs/>
              </w:rPr>
            </w:pPr>
            <w:r w:rsidRPr="006E37E2">
              <w:t>Việc cập nhật các căn cứ pháp lý nhằm bảo đảm sự phù hợp với hệ thống pháp luật hiện hành, đồng thời thống nhất với các quy định mới về tổ chức bộ máy và quản lý nhà nước trong lĩnh</w:t>
            </w:r>
            <w:r w:rsidR="00A6293E" w:rsidRPr="006E37E2">
              <w:t xml:space="preserve"> vực đê điều.</w:t>
            </w:r>
          </w:p>
        </w:tc>
      </w:tr>
      <w:tr w:rsidR="006E37E2" w:rsidRPr="006E37E2" w14:paraId="43381EE6" w14:textId="77777777" w:rsidTr="00667748">
        <w:trPr>
          <w:jc w:val="center"/>
        </w:trPr>
        <w:tc>
          <w:tcPr>
            <w:tcW w:w="5807" w:type="dxa"/>
          </w:tcPr>
          <w:p w14:paraId="2A6A4954" w14:textId="77777777" w:rsidR="00A6293E" w:rsidRPr="006E37E2" w:rsidRDefault="00A6293E" w:rsidP="00A6293E">
            <w:pPr>
              <w:spacing w:before="60" w:after="60"/>
              <w:jc w:val="both"/>
              <w:rPr>
                <w:b/>
              </w:rPr>
            </w:pPr>
            <w:r w:rsidRPr="006E37E2">
              <w:rPr>
                <w:b/>
              </w:rPr>
              <w:lastRenderedPageBreak/>
              <w:t>Điều 1. Phạm vi điều chỉnh và đối tượng áp dụng</w:t>
            </w:r>
          </w:p>
          <w:p w14:paraId="4A8BD390" w14:textId="77777777" w:rsidR="00A6293E" w:rsidRPr="006E37E2" w:rsidRDefault="00A6293E" w:rsidP="00A6293E">
            <w:pPr>
              <w:pStyle w:val="NormalWeb"/>
              <w:spacing w:before="60" w:beforeAutospacing="0" w:after="60" w:afterAutospacing="0"/>
              <w:jc w:val="both"/>
              <w:rPr>
                <w:bCs/>
              </w:rPr>
            </w:pPr>
            <w:r w:rsidRPr="006E37E2">
              <w:rPr>
                <w:bCs/>
              </w:rPr>
              <w:t>1. Phạm vi điều chỉnh</w:t>
            </w:r>
          </w:p>
          <w:p w14:paraId="7140100E" w14:textId="77777777" w:rsidR="00A6293E" w:rsidRPr="006E37E2" w:rsidRDefault="00A6293E" w:rsidP="00A6293E">
            <w:pPr>
              <w:pStyle w:val="NormalWeb"/>
              <w:spacing w:before="60" w:beforeAutospacing="0" w:after="60" w:afterAutospacing="0"/>
              <w:jc w:val="both"/>
            </w:pPr>
            <w:r w:rsidRPr="006E37E2">
              <w:t xml:space="preserve">Quyết định này quy định phân cấp quản lý duy tu, bảo dưỡng hệ thống đê điều trên địa bàn tỉnh Kiên Giang. </w:t>
            </w:r>
          </w:p>
          <w:p w14:paraId="41B4D3A2" w14:textId="77777777" w:rsidR="00A6293E" w:rsidRPr="006E37E2" w:rsidRDefault="00A6293E" w:rsidP="00A6293E">
            <w:pPr>
              <w:pStyle w:val="NormalWeb"/>
              <w:spacing w:before="60" w:beforeAutospacing="0" w:after="60" w:afterAutospacing="0"/>
              <w:jc w:val="both"/>
            </w:pPr>
            <w:r w:rsidRPr="006E37E2">
              <w:t>2. Đối tượng áp dụng</w:t>
            </w:r>
          </w:p>
          <w:p w14:paraId="5127D314" w14:textId="77777777" w:rsidR="00A6293E" w:rsidRPr="006E37E2" w:rsidRDefault="00A6293E" w:rsidP="00A6293E">
            <w:pPr>
              <w:pStyle w:val="NormalWeb"/>
              <w:spacing w:before="60" w:beforeAutospacing="0" w:after="60" w:afterAutospacing="0"/>
              <w:jc w:val="both"/>
            </w:pPr>
            <w:r w:rsidRPr="006E37E2">
              <w:t>Các cơ quan, đơn vị, tổ chức, cá nhân có hoạt động liên quan đến việc quản lý duy tu, bảo dưỡng hệ thống đê điều trên địa bàn tỉnh Kiên Giang.</w:t>
            </w:r>
          </w:p>
          <w:p w14:paraId="4250C3CA" w14:textId="15384857" w:rsidR="00733223" w:rsidRPr="006E37E2" w:rsidRDefault="00733223" w:rsidP="00A6293E">
            <w:pPr>
              <w:spacing w:before="60" w:after="60"/>
              <w:jc w:val="both"/>
              <w:rPr>
                <w:b/>
              </w:rPr>
            </w:pPr>
          </w:p>
        </w:tc>
        <w:tc>
          <w:tcPr>
            <w:tcW w:w="6095" w:type="dxa"/>
          </w:tcPr>
          <w:p w14:paraId="0DF37657" w14:textId="77777777" w:rsidR="005D73F4" w:rsidRPr="006E37E2" w:rsidRDefault="005D73F4" w:rsidP="00AE6DAF">
            <w:pPr>
              <w:spacing w:before="60" w:after="60"/>
              <w:jc w:val="both"/>
              <w:rPr>
                <w:b/>
              </w:rPr>
            </w:pPr>
            <w:r w:rsidRPr="006E37E2">
              <w:rPr>
                <w:b/>
              </w:rPr>
              <w:t>Điều 1. Phạm vi điều chỉnh và đối tượng áp dụng</w:t>
            </w:r>
          </w:p>
          <w:p w14:paraId="24EED14F" w14:textId="77777777" w:rsidR="00A6293E" w:rsidRPr="006E37E2" w:rsidRDefault="00A6293E" w:rsidP="00A6293E">
            <w:pPr>
              <w:pStyle w:val="NormalWeb"/>
              <w:spacing w:before="60" w:beforeAutospacing="0" w:after="60" w:afterAutospacing="0"/>
              <w:jc w:val="both"/>
            </w:pPr>
            <w:r w:rsidRPr="006E37E2">
              <w:t>1. Phạm vi điều chỉnh</w:t>
            </w:r>
          </w:p>
          <w:p w14:paraId="78E09571" w14:textId="77777777" w:rsidR="00A6293E" w:rsidRPr="006E37E2" w:rsidRDefault="00A6293E" w:rsidP="00A6293E">
            <w:pPr>
              <w:pStyle w:val="NormalWeb"/>
              <w:spacing w:before="60" w:beforeAutospacing="0" w:after="60" w:afterAutospacing="0"/>
              <w:jc w:val="both"/>
            </w:pPr>
            <w:r w:rsidRPr="006E37E2">
              <w:t>Quyết định này quy định phân cấp quản lý duy tu, bảo dưỡng hệ thống đê điều trên địa bàn tỉnh An Giang từ nguồn ngân sách địa phương.</w:t>
            </w:r>
          </w:p>
          <w:p w14:paraId="5AD216C5" w14:textId="77777777" w:rsidR="00A6293E" w:rsidRPr="006E37E2" w:rsidRDefault="00A6293E" w:rsidP="00A6293E">
            <w:pPr>
              <w:pStyle w:val="NormalWeb"/>
              <w:spacing w:before="60" w:beforeAutospacing="0" w:after="60" w:afterAutospacing="0"/>
              <w:jc w:val="both"/>
            </w:pPr>
            <w:r w:rsidRPr="006E37E2">
              <w:t>2. Đối tượng áp dụng</w:t>
            </w:r>
          </w:p>
          <w:p w14:paraId="48C0742F" w14:textId="77777777" w:rsidR="00A6293E" w:rsidRPr="006E37E2" w:rsidRDefault="00A6293E" w:rsidP="00A6293E">
            <w:pPr>
              <w:pStyle w:val="NormalWeb"/>
              <w:spacing w:before="60" w:beforeAutospacing="0" w:after="60" w:afterAutospacing="0"/>
              <w:jc w:val="both"/>
            </w:pPr>
            <w:r w:rsidRPr="006E37E2">
              <w:t>Các cơ quan, đơn vị, tổ chức, cá nhân có hoạt động liên quan đến việc quản lý duy tu, bảo dưỡng hệ thống đê điều trên địa bàn tỉnh An Giang.</w:t>
            </w:r>
          </w:p>
          <w:p w14:paraId="2F7400A3" w14:textId="38AA17B6" w:rsidR="000277FE" w:rsidRPr="006E37E2" w:rsidRDefault="000277FE" w:rsidP="00AE6DAF">
            <w:pPr>
              <w:spacing w:before="60" w:after="60"/>
              <w:jc w:val="both"/>
              <w:rPr>
                <w:b/>
                <w:bCs/>
              </w:rPr>
            </w:pPr>
          </w:p>
        </w:tc>
        <w:tc>
          <w:tcPr>
            <w:tcW w:w="3828" w:type="dxa"/>
          </w:tcPr>
          <w:p w14:paraId="39962896" w14:textId="07BBE0F9" w:rsidR="007842CF" w:rsidRPr="006E37E2" w:rsidRDefault="007842CF" w:rsidP="007842CF">
            <w:pPr>
              <w:spacing w:before="60" w:after="60"/>
              <w:jc w:val="both"/>
              <w:rPr>
                <w:iCs/>
              </w:rPr>
            </w:pPr>
            <w:r w:rsidRPr="006E37E2">
              <w:rPr>
                <w:iCs/>
              </w:rPr>
              <w:t xml:space="preserve">Nội dung này được rà soát, kế thừa cơ bản quy định tại các quyết định trước đây của tỉnh Kiên Giang </w:t>
            </w:r>
            <w:r w:rsidR="00A6293E" w:rsidRPr="006E37E2">
              <w:rPr>
                <w:iCs/>
              </w:rPr>
              <w:t xml:space="preserve">(tỉnh An Giang </w:t>
            </w:r>
            <w:r w:rsidR="00F937BD" w:rsidRPr="006E37E2">
              <w:rPr>
                <w:iCs/>
              </w:rPr>
              <w:t>(</w:t>
            </w:r>
            <w:r w:rsidR="00A6293E" w:rsidRPr="006E37E2">
              <w:rPr>
                <w:iCs/>
              </w:rPr>
              <w:t>cũ</w:t>
            </w:r>
            <w:r w:rsidR="00F937BD" w:rsidRPr="006E37E2">
              <w:rPr>
                <w:iCs/>
              </w:rPr>
              <w:t>)</w:t>
            </w:r>
            <w:r w:rsidR="00A6293E" w:rsidRPr="006E37E2">
              <w:rPr>
                <w:iCs/>
              </w:rPr>
              <w:t xml:space="preserve"> chưa ban hành Quyết định thực hiện nội dung này).</w:t>
            </w:r>
          </w:p>
          <w:p w14:paraId="509FCDF2" w14:textId="369452A3" w:rsidR="007842CF" w:rsidRPr="006E37E2" w:rsidRDefault="007842CF" w:rsidP="007842CF">
            <w:pPr>
              <w:spacing w:before="60" w:after="60"/>
              <w:jc w:val="both"/>
              <w:rPr>
                <w:iCs/>
              </w:rPr>
            </w:pPr>
            <w:r w:rsidRPr="006E37E2">
              <w:rPr>
                <w:iCs/>
              </w:rPr>
              <w:t xml:space="preserve">Đồng thời, dự thảo Quyết định đã chỉnh sửa, chuẩn hóa lại nội dung để bảo đảm thống nhất về phạm vi điều chỉnh và đối tượng áp dụng đối với hoạt động </w:t>
            </w:r>
            <w:r w:rsidR="00A6293E" w:rsidRPr="006E37E2">
              <w:t xml:space="preserve">quản lý duy tu, bảo dưỡng hệ thống đê điều trên địa bàn tỉnh An Giang từ nguồn ngân sách địa phương </w:t>
            </w:r>
            <w:r w:rsidRPr="006E37E2">
              <w:rPr>
                <w:iCs/>
              </w:rPr>
              <w:t xml:space="preserve"> sau khi hợp nhất tỉnh.</w:t>
            </w:r>
          </w:p>
          <w:p w14:paraId="1DAC9362" w14:textId="4133F574" w:rsidR="007842CF" w:rsidRPr="006E37E2" w:rsidRDefault="007842CF" w:rsidP="007842CF">
            <w:pPr>
              <w:spacing w:before="60" w:after="60"/>
              <w:jc w:val="both"/>
              <w:rPr>
                <w:iCs/>
              </w:rPr>
            </w:pPr>
            <w:r w:rsidRPr="006E37E2">
              <w:rPr>
                <w:iCs/>
              </w:rPr>
              <w:t xml:space="preserve">Việc quy định như trên nhằm bảo đảm các cơ quan, tổ chức, cá nhân có liên quan trong hoạt động </w:t>
            </w:r>
            <w:r w:rsidR="00A6293E" w:rsidRPr="006E37E2">
              <w:t>quản lý duy tu, bảo dưỡng hệ thống đê điều trên địa bàn tỉnh An Giang từ nguồn ngân sách địa phương</w:t>
            </w:r>
            <w:r w:rsidRPr="006E37E2">
              <w:rPr>
                <w:iCs/>
              </w:rPr>
              <w:t xml:space="preserve"> đều thuộc phạm vi điều chỉnh của Quyết định này.</w:t>
            </w:r>
          </w:p>
          <w:p w14:paraId="666B736E" w14:textId="7EA9224F" w:rsidR="000277FE" w:rsidRPr="006E37E2" w:rsidRDefault="000277FE" w:rsidP="00AE6DAF">
            <w:pPr>
              <w:spacing w:before="60" w:after="60"/>
              <w:jc w:val="both"/>
              <w:rPr>
                <w:iCs/>
              </w:rPr>
            </w:pPr>
          </w:p>
        </w:tc>
      </w:tr>
      <w:tr w:rsidR="006E37E2" w:rsidRPr="006E37E2" w14:paraId="1FB83CBD" w14:textId="77777777" w:rsidTr="00667748">
        <w:trPr>
          <w:jc w:val="center"/>
        </w:trPr>
        <w:tc>
          <w:tcPr>
            <w:tcW w:w="5807" w:type="dxa"/>
          </w:tcPr>
          <w:p w14:paraId="4B45708F" w14:textId="77777777" w:rsidR="00754EE4" w:rsidRPr="006E37E2" w:rsidRDefault="00754EE4" w:rsidP="00754EE4">
            <w:pPr>
              <w:pStyle w:val="NormalWeb"/>
              <w:spacing w:before="60" w:beforeAutospacing="0" w:after="60" w:afterAutospacing="0"/>
              <w:jc w:val="both"/>
              <w:rPr>
                <w:b/>
                <w:bCs/>
              </w:rPr>
            </w:pPr>
            <w:r w:rsidRPr="006E37E2">
              <w:rPr>
                <w:b/>
                <w:bCs/>
              </w:rPr>
              <w:t>Điều 2. Phân cấp quản lý duy tu, bảo dưỡng hệ thống đê điều</w:t>
            </w:r>
          </w:p>
          <w:p w14:paraId="41FC0E0B" w14:textId="77777777" w:rsidR="00754EE4" w:rsidRPr="006E37E2" w:rsidRDefault="00754EE4" w:rsidP="00754EE4">
            <w:pPr>
              <w:pStyle w:val="NormalWeb"/>
              <w:spacing w:before="60" w:beforeAutospacing="0" w:after="60" w:afterAutospacing="0"/>
              <w:jc w:val="both"/>
            </w:pPr>
            <w:r w:rsidRPr="006E37E2">
              <w:t>1. Sở Nông nghiệp và Phát triển nông thôn</w:t>
            </w:r>
          </w:p>
          <w:p w14:paraId="7DB38BA4" w14:textId="77777777" w:rsidR="00754EE4" w:rsidRPr="006E37E2" w:rsidRDefault="00754EE4" w:rsidP="00754EE4">
            <w:pPr>
              <w:pStyle w:val="NormalWeb"/>
              <w:spacing w:before="60" w:beforeAutospacing="0" w:after="60" w:afterAutospacing="0"/>
              <w:jc w:val="both"/>
            </w:pPr>
            <w:r w:rsidRPr="006E37E2">
              <w:t>Quản lý duy tu, bảo dưỡng các hệ thống đê điều do cấp tỉnh đầu tư xây dựng hoặc Trung ương đầu tư xây dựng trên địa bàn tỉnh và giao cho tỉnh quản lý:</w:t>
            </w:r>
          </w:p>
          <w:p w14:paraId="6C011600" w14:textId="77777777" w:rsidR="00754EE4" w:rsidRPr="006E37E2" w:rsidRDefault="00754EE4" w:rsidP="00754EE4">
            <w:pPr>
              <w:pStyle w:val="NormalWeb"/>
              <w:spacing w:before="60" w:beforeAutospacing="0" w:after="60" w:afterAutospacing="0"/>
              <w:jc w:val="both"/>
            </w:pPr>
            <w:r w:rsidRPr="006E37E2">
              <w:lastRenderedPageBreak/>
              <w:t xml:space="preserve">a) Hệ thống đê biển, kè bảo vệ đê, các cống dưới đê và các công trình phụ trợ liên quan: </w:t>
            </w:r>
          </w:p>
          <w:p w14:paraId="00B5EEEC" w14:textId="77777777" w:rsidR="00754EE4" w:rsidRPr="006E37E2" w:rsidRDefault="00754EE4" w:rsidP="00754EE4">
            <w:pPr>
              <w:pStyle w:val="NormalWeb"/>
              <w:spacing w:before="60" w:beforeAutospacing="0" w:after="60" w:afterAutospacing="0"/>
              <w:jc w:val="both"/>
            </w:pPr>
            <w:r w:rsidRPr="006E37E2">
              <w:t>- Hệ thống đê biển từ cống Số 2 (huyện  Hòn Đất) đến Chùa Hang (huyện Kiên Lương).</w:t>
            </w:r>
          </w:p>
          <w:p w14:paraId="5E9B7D05" w14:textId="77777777" w:rsidR="00754EE4" w:rsidRPr="006E37E2" w:rsidRDefault="00754EE4" w:rsidP="00754EE4">
            <w:pPr>
              <w:pStyle w:val="NormalWeb"/>
              <w:spacing w:before="60" w:beforeAutospacing="0" w:after="60" w:afterAutospacing="0"/>
              <w:jc w:val="both"/>
            </w:pPr>
            <w:r w:rsidRPr="006E37E2">
              <w:t>- Hệ thống đê biển từ Xẻo Rô (huyện An Biên) đến Tiểu Dừa (huyện An Minh).</w:t>
            </w:r>
          </w:p>
          <w:p w14:paraId="0E1805E2" w14:textId="77777777" w:rsidR="00754EE4" w:rsidRPr="006E37E2" w:rsidRDefault="00754EE4" w:rsidP="00754EE4">
            <w:pPr>
              <w:pStyle w:val="NormalWeb"/>
              <w:spacing w:before="60" w:beforeAutospacing="0" w:after="60" w:afterAutospacing="0"/>
              <w:jc w:val="both"/>
            </w:pPr>
            <w:r w:rsidRPr="006E37E2">
              <w:t>b) Các đoạn đê cửa sông, kè bảo vệ đê cửa sông, cống dưới đê cửa sông và các công trình phụ trợ từ cống Cái Lớn, cống Cái Bé đến vị trí tiếp giáp với hệ thống đê biển.</w:t>
            </w:r>
          </w:p>
          <w:p w14:paraId="4AA65E9B" w14:textId="77777777" w:rsidR="00754EE4" w:rsidRPr="006E37E2" w:rsidRDefault="00754EE4" w:rsidP="00754EE4">
            <w:pPr>
              <w:pStyle w:val="NormalWeb"/>
              <w:spacing w:before="60" w:beforeAutospacing="0" w:after="60" w:afterAutospacing="0"/>
              <w:jc w:val="both"/>
            </w:pPr>
            <w:r w:rsidRPr="006E37E2">
              <w:t>c) Hệ thống đê bao, kè bảo vệ đê, các cống dưới đê và các công trình phụ trợ liên quan:</w:t>
            </w:r>
          </w:p>
          <w:p w14:paraId="6B88404A" w14:textId="77777777" w:rsidR="00754EE4" w:rsidRPr="006E37E2" w:rsidRDefault="00754EE4" w:rsidP="00754EE4">
            <w:pPr>
              <w:pStyle w:val="NormalWeb"/>
              <w:spacing w:before="60" w:beforeAutospacing="0" w:after="60" w:afterAutospacing="0"/>
              <w:jc w:val="both"/>
            </w:pPr>
            <w:r w:rsidRPr="006E37E2">
              <w:t>- Hệ thống đê bao Ô Môn - Xà No trên địa bàn huyện Giồng Riềng, Gò Quao.</w:t>
            </w:r>
          </w:p>
          <w:p w14:paraId="65174ADF" w14:textId="77777777" w:rsidR="00754EE4" w:rsidRPr="006E37E2" w:rsidRDefault="00754EE4" w:rsidP="00754EE4">
            <w:pPr>
              <w:pStyle w:val="NormalWeb"/>
              <w:spacing w:before="60" w:beforeAutospacing="0" w:after="60" w:afterAutospacing="0"/>
              <w:jc w:val="both"/>
            </w:pPr>
            <w:r w:rsidRPr="006E37E2">
              <w:t>- Hệ thống đê bao ngoài vùng đệm Vườn Quốc Gia U Minh Thượng.</w:t>
            </w:r>
          </w:p>
          <w:p w14:paraId="49A02DBE" w14:textId="77777777" w:rsidR="00754EE4" w:rsidRPr="006E37E2" w:rsidRDefault="00754EE4" w:rsidP="00754EE4">
            <w:pPr>
              <w:pStyle w:val="NormalWeb"/>
              <w:spacing w:before="60" w:beforeAutospacing="0" w:after="60" w:afterAutospacing="0"/>
              <w:jc w:val="both"/>
            </w:pPr>
            <w:r w:rsidRPr="006E37E2">
              <w:t xml:space="preserve">2. Sở Giao thông vận tải thực hiện quản lý duy tu, bảo dưỡng hệ thống đường giao thông trên đê: </w:t>
            </w:r>
          </w:p>
          <w:p w14:paraId="2107BEF9" w14:textId="77777777" w:rsidR="00754EE4" w:rsidRPr="006E37E2" w:rsidRDefault="00754EE4" w:rsidP="00754EE4">
            <w:pPr>
              <w:pStyle w:val="NormalWeb"/>
              <w:spacing w:before="60" w:beforeAutospacing="0" w:after="60" w:afterAutospacing="0"/>
              <w:jc w:val="both"/>
            </w:pPr>
            <w:r w:rsidRPr="006E37E2">
              <w:t>a) Đường giao thông trên đê biển từ xã Thổ Sơn đến cống Lình Huỳnh, huyện Hòn Đất (Đường ĐT.969B).</w:t>
            </w:r>
          </w:p>
          <w:p w14:paraId="41360DFB" w14:textId="77777777" w:rsidR="00754EE4" w:rsidRPr="006E37E2" w:rsidRDefault="00754EE4" w:rsidP="00754EE4">
            <w:pPr>
              <w:pStyle w:val="NormalWeb"/>
              <w:spacing w:before="60" w:beforeAutospacing="0" w:after="60" w:afterAutospacing="0"/>
              <w:jc w:val="both"/>
            </w:pPr>
            <w:r w:rsidRPr="006E37E2">
              <w:t>b) Đường giao thông trên đê bao Ô Môn - Xà No thuộc địa bàn huyện Giồng Riềng, Gò Quao (Đường ĐT.963D).</w:t>
            </w:r>
          </w:p>
          <w:p w14:paraId="51C32083" w14:textId="77777777" w:rsidR="00754EE4" w:rsidRPr="006E37E2" w:rsidRDefault="00754EE4" w:rsidP="00754EE4">
            <w:pPr>
              <w:pStyle w:val="NormalWeb"/>
              <w:spacing w:before="60" w:beforeAutospacing="0" w:after="60" w:afterAutospacing="0"/>
              <w:jc w:val="both"/>
            </w:pPr>
            <w:r w:rsidRPr="006E37E2">
              <w:t>c) Đường giao thông trên đê bao ngoài Vườn Quốc Gia U Minh Thượng (Đường ĐT.965).</w:t>
            </w:r>
          </w:p>
          <w:p w14:paraId="45C3229F" w14:textId="77777777" w:rsidR="00754EE4" w:rsidRPr="006E37E2" w:rsidRDefault="00754EE4" w:rsidP="00754EE4">
            <w:pPr>
              <w:pStyle w:val="NormalWeb"/>
              <w:spacing w:before="60" w:beforeAutospacing="0" w:after="60" w:afterAutospacing="0"/>
              <w:jc w:val="both"/>
            </w:pPr>
            <w:r w:rsidRPr="006E37E2">
              <w:t>3. Ủy ban nhân dân cấp huyện quản lý duy tu, bảo dưỡng các hệ thống đê điều do cấp huyện đầu tư xây dựng hoặc cấp tỉnh đầu tư xây dựng trên địa bàn huyện và giao cho huyện quản lý.</w:t>
            </w:r>
          </w:p>
          <w:p w14:paraId="14BB2735" w14:textId="21D65C1D" w:rsidR="00656D0C" w:rsidRPr="006E37E2" w:rsidRDefault="00754EE4" w:rsidP="00754EE4">
            <w:pPr>
              <w:pStyle w:val="NormalWeb"/>
              <w:spacing w:before="60" w:beforeAutospacing="0" w:after="60" w:afterAutospacing="0"/>
              <w:jc w:val="both"/>
            </w:pPr>
            <w:r w:rsidRPr="006E37E2">
              <w:t>4. Các cơ quan, đơn vị và địa phương được phân cấp thực hiện các nhiệm vụ có liên quan đến công tác quản lý duy tu, bảo dưỡng hệ thống đê điều theo quy định của pháp luật hiện hành.</w:t>
            </w:r>
          </w:p>
        </w:tc>
        <w:tc>
          <w:tcPr>
            <w:tcW w:w="6095" w:type="dxa"/>
          </w:tcPr>
          <w:p w14:paraId="175F02DA" w14:textId="77777777" w:rsidR="00F937BD" w:rsidRPr="006E37E2" w:rsidRDefault="00F937BD" w:rsidP="00F937BD">
            <w:pPr>
              <w:pStyle w:val="NormalWeb"/>
              <w:spacing w:before="60" w:beforeAutospacing="0" w:after="60" w:afterAutospacing="0"/>
              <w:jc w:val="both"/>
              <w:rPr>
                <w:b/>
                <w:bCs/>
              </w:rPr>
            </w:pPr>
            <w:bookmarkStart w:id="1" w:name="_Hlk226314763"/>
            <w:r w:rsidRPr="006E37E2">
              <w:rPr>
                <w:b/>
                <w:bCs/>
              </w:rPr>
              <w:lastRenderedPageBreak/>
              <w:t>Điều 2. Phân cấp quản lý duy tu, bảo dưỡng hệ thống đê điều</w:t>
            </w:r>
          </w:p>
          <w:bookmarkEnd w:id="1"/>
          <w:p w14:paraId="32FD232A" w14:textId="77777777" w:rsidR="00F937BD" w:rsidRPr="006E37E2" w:rsidRDefault="00F937BD" w:rsidP="00F937BD">
            <w:pPr>
              <w:pStyle w:val="NormalWeb"/>
              <w:spacing w:before="60" w:beforeAutospacing="0" w:after="60" w:afterAutospacing="0"/>
              <w:jc w:val="both"/>
            </w:pPr>
            <w:r w:rsidRPr="006E37E2">
              <w:t>1. Sở Nông nghiệp và Môi trường</w:t>
            </w:r>
          </w:p>
          <w:p w14:paraId="343ABE0D" w14:textId="77777777" w:rsidR="00F937BD" w:rsidRPr="006E37E2" w:rsidRDefault="00F937BD" w:rsidP="00F937BD">
            <w:pPr>
              <w:pStyle w:val="NormalWeb"/>
              <w:spacing w:before="60" w:beforeAutospacing="0" w:after="60" w:afterAutospacing="0"/>
              <w:jc w:val="both"/>
            </w:pPr>
            <w:r w:rsidRPr="006E37E2">
              <w:t>Quản lý duy tu, bảo dưỡng các hệ thống đê điều do cấp tỉnh đầu tư xây dựng hoặc Trung ương đầu tư xây dựng trên địa bàn tỉnh và giao cho tỉnh quản lý:</w:t>
            </w:r>
          </w:p>
          <w:p w14:paraId="4C99D09D" w14:textId="77777777" w:rsidR="00F937BD" w:rsidRPr="006E37E2" w:rsidRDefault="00F937BD" w:rsidP="00F937BD">
            <w:pPr>
              <w:pStyle w:val="NormalWeb"/>
              <w:spacing w:before="60" w:beforeAutospacing="0" w:after="60" w:afterAutospacing="0"/>
              <w:jc w:val="both"/>
            </w:pPr>
            <w:r w:rsidRPr="006E37E2">
              <w:lastRenderedPageBreak/>
              <w:t xml:space="preserve">a) Hệ thống đê biển, kè bảo vệ đê, các cống dưới đê và các công trình phụ trợ liên quan: </w:t>
            </w:r>
          </w:p>
          <w:p w14:paraId="43E4F359" w14:textId="77777777" w:rsidR="00F937BD" w:rsidRPr="006E37E2" w:rsidRDefault="00F937BD" w:rsidP="00F937BD">
            <w:pPr>
              <w:pStyle w:val="NormalWeb"/>
              <w:spacing w:before="60" w:beforeAutospacing="0" w:after="60" w:afterAutospacing="0"/>
              <w:jc w:val="both"/>
            </w:pPr>
            <w:r w:rsidRPr="006E37E2">
              <w:t>- Hệ thống đê biển từ cống Số 2 (xã Vĩnh Thông) đến Chùa Hang (xã Kiên Lương).</w:t>
            </w:r>
          </w:p>
          <w:p w14:paraId="41586EC8" w14:textId="77777777" w:rsidR="00F937BD" w:rsidRPr="006E37E2" w:rsidRDefault="00F937BD" w:rsidP="00F937BD">
            <w:pPr>
              <w:pStyle w:val="NormalWeb"/>
              <w:spacing w:before="60" w:beforeAutospacing="0" w:after="60" w:afterAutospacing="0"/>
              <w:jc w:val="both"/>
            </w:pPr>
            <w:r w:rsidRPr="006E37E2">
              <w:t>- Hệ thống đê biển từ Xẻo Rô (xã Tây Yên) đến Tiểu Dừa (xã Vân Khánh).</w:t>
            </w:r>
          </w:p>
          <w:p w14:paraId="789EB323" w14:textId="77777777" w:rsidR="00F937BD" w:rsidRPr="006E37E2" w:rsidRDefault="00F937BD" w:rsidP="00F937BD">
            <w:pPr>
              <w:pStyle w:val="NormalWeb"/>
              <w:spacing w:before="60" w:beforeAutospacing="0" w:after="60" w:afterAutospacing="0"/>
              <w:jc w:val="both"/>
            </w:pPr>
            <w:r w:rsidRPr="006E37E2">
              <w:t>b) Các đoạn đê cửa sông, kè bảo vệ đê cửa sông, cống dưới đê cửa sông và các công trình phụ trợ từ cống Cái Lớn, cống Cái Bé đến vị trí tiếp giáp với hệ thống đê biển.</w:t>
            </w:r>
          </w:p>
          <w:p w14:paraId="7B4B46AA" w14:textId="77777777" w:rsidR="00F937BD" w:rsidRPr="006E37E2" w:rsidRDefault="00F937BD" w:rsidP="00F937BD">
            <w:pPr>
              <w:pStyle w:val="NormalWeb"/>
              <w:spacing w:before="60" w:beforeAutospacing="0" w:after="60" w:afterAutospacing="0"/>
              <w:jc w:val="both"/>
            </w:pPr>
            <w:r w:rsidRPr="006E37E2">
              <w:t>c) Hệ thống đê bao, kè bảo vệ đê, các cống dưới đê và các công trình phụ trợ liên quan:</w:t>
            </w:r>
          </w:p>
          <w:p w14:paraId="11E2D8D4" w14:textId="77777777" w:rsidR="00F937BD" w:rsidRPr="006E37E2" w:rsidRDefault="00F937BD" w:rsidP="00F937BD">
            <w:pPr>
              <w:pStyle w:val="NormalWeb"/>
              <w:spacing w:before="60" w:beforeAutospacing="0" w:after="60" w:afterAutospacing="0"/>
              <w:jc w:val="both"/>
            </w:pPr>
            <w:r w:rsidRPr="006E37E2">
              <w:t>- Hệ thống đê bao Ô Môn - Xà No trên địa bàn xã Vĩnh Hòa Hưng, Hòa Thuận, Hòa Hưng.</w:t>
            </w:r>
          </w:p>
          <w:p w14:paraId="46A4F43D" w14:textId="77777777" w:rsidR="00F937BD" w:rsidRPr="006E37E2" w:rsidRDefault="00F937BD" w:rsidP="00F937BD">
            <w:pPr>
              <w:pStyle w:val="NormalWeb"/>
              <w:spacing w:before="60" w:beforeAutospacing="0" w:after="60" w:afterAutospacing="0"/>
              <w:jc w:val="both"/>
            </w:pPr>
            <w:r w:rsidRPr="006E37E2">
              <w:t>- Hệ thống đê bao ngoài vùng đệm Vườn Quốc Gia U Minh Thượng.</w:t>
            </w:r>
          </w:p>
          <w:p w14:paraId="413A9CFB" w14:textId="77777777" w:rsidR="00F937BD" w:rsidRPr="006E37E2" w:rsidRDefault="00F937BD" w:rsidP="00F937BD">
            <w:pPr>
              <w:pStyle w:val="NormalWeb"/>
              <w:spacing w:before="60" w:beforeAutospacing="0" w:after="60" w:afterAutospacing="0"/>
              <w:jc w:val="both"/>
            </w:pPr>
            <w:r w:rsidRPr="006E37E2">
              <w:t xml:space="preserve">2. Sở Xây dựng thực hiện quản lý duy tu, bảo dưỡng hệ thống đường giao thông trên đê: </w:t>
            </w:r>
          </w:p>
          <w:p w14:paraId="00A51457" w14:textId="77777777" w:rsidR="00F937BD" w:rsidRPr="006E37E2" w:rsidRDefault="00F937BD" w:rsidP="00F937BD">
            <w:pPr>
              <w:pStyle w:val="NormalWeb"/>
              <w:spacing w:before="60" w:beforeAutospacing="0" w:after="60" w:afterAutospacing="0"/>
              <w:jc w:val="both"/>
            </w:pPr>
            <w:r w:rsidRPr="006E37E2">
              <w:t>a) Đường giao thông trên đê biển từ cống Hòn Sóc đến cống Lình Huỳnh, xã Hòn Đất (Đường ĐT.969B).</w:t>
            </w:r>
          </w:p>
          <w:p w14:paraId="580A0833" w14:textId="77777777" w:rsidR="00F937BD" w:rsidRPr="006E37E2" w:rsidRDefault="00F937BD" w:rsidP="00F937BD">
            <w:pPr>
              <w:pStyle w:val="NormalWeb"/>
              <w:spacing w:before="60" w:beforeAutospacing="0" w:after="60" w:afterAutospacing="0"/>
              <w:jc w:val="both"/>
            </w:pPr>
            <w:r w:rsidRPr="006E37E2">
              <w:t>b) Đường giao thông trên đê bao Ô Môn - Xà No thuộc địa bàn xã Vĩnh Hòa Hưng, Hòa Thuận, Hòa Hưng (Đường ĐT.963D).</w:t>
            </w:r>
          </w:p>
          <w:p w14:paraId="13E96805" w14:textId="77777777" w:rsidR="00F937BD" w:rsidRPr="006E37E2" w:rsidRDefault="00F937BD" w:rsidP="00F937BD">
            <w:pPr>
              <w:pStyle w:val="NormalWeb"/>
              <w:spacing w:before="60" w:beforeAutospacing="0" w:after="60" w:afterAutospacing="0"/>
              <w:jc w:val="both"/>
            </w:pPr>
            <w:r w:rsidRPr="006E37E2">
              <w:t>c) Đường giao thông trên đê bao ngoài Vườn Quốc Gia U Minh Thượng (Đường ĐT.965).</w:t>
            </w:r>
          </w:p>
          <w:p w14:paraId="7C483E70" w14:textId="77777777" w:rsidR="00F937BD" w:rsidRPr="006E37E2" w:rsidRDefault="00F937BD" w:rsidP="00F937BD">
            <w:pPr>
              <w:pStyle w:val="NormalWeb"/>
              <w:spacing w:before="60" w:beforeAutospacing="0" w:after="60" w:afterAutospacing="0"/>
              <w:jc w:val="both"/>
            </w:pPr>
            <w:r w:rsidRPr="006E37E2">
              <w:t>3. Ủy ban nhân dân cấp xã quản lý duy tu, bảo dưỡng các hệ thống đê điều do cấp xã đầu tư xây dựng hoặc cấp tỉnh đầu tư xây dựng trên địa bàn xã và giao cho xã quản lý.</w:t>
            </w:r>
          </w:p>
          <w:p w14:paraId="7A90387C" w14:textId="77777777" w:rsidR="00F937BD" w:rsidRPr="006E37E2" w:rsidRDefault="00F937BD" w:rsidP="00F937BD">
            <w:pPr>
              <w:pStyle w:val="NormalWeb"/>
              <w:spacing w:before="60" w:beforeAutospacing="0" w:after="60" w:afterAutospacing="0"/>
              <w:jc w:val="both"/>
            </w:pPr>
            <w:r w:rsidRPr="006E37E2">
              <w:t>4. Các cơ quan, đơn vị và địa phương được phân cấp thực hiện các nhiệm vụ có liên quan đến công tác quản lý duy tu, bảo dưỡng hệ thống đê điều theo quy định của pháp luật hiện hành.</w:t>
            </w:r>
          </w:p>
          <w:p w14:paraId="6ADBEBE7" w14:textId="50565E7F" w:rsidR="0049224F" w:rsidRPr="006E37E2" w:rsidRDefault="0049224F" w:rsidP="00F937BD">
            <w:pPr>
              <w:pStyle w:val="NormalWeb"/>
              <w:spacing w:before="60" w:beforeAutospacing="0" w:after="60" w:afterAutospacing="0"/>
              <w:jc w:val="both"/>
            </w:pPr>
          </w:p>
        </w:tc>
        <w:tc>
          <w:tcPr>
            <w:tcW w:w="3828" w:type="dxa"/>
          </w:tcPr>
          <w:p w14:paraId="1416E93F" w14:textId="0BE3BAC1" w:rsidR="00F937BD" w:rsidRPr="006E37E2" w:rsidRDefault="00F937BD" w:rsidP="00F937BD">
            <w:pPr>
              <w:pStyle w:val="NormalWeb"/>
              <w:spacing w:before="60" w:beforeAutospacing="0" w:after="60" w:afterAutospacing="0"/>
              <w:jc w:val="both"/>
              <w:rPr>
                <w:iCs/>
              </w:rPr>
            </w:pPr>
            <w:r w:rsidRPr="006E37E2">
              <w:rPr>
                <w:iCs/>
              </w:rPr>
              <w:lastRenderedPageBreak/>
              <w:t>Nội dung này được xây dựng trên cơ sở kế thừa các quy định về p</w:t>
            </w:r>
            <w:r w:rsidRPr="006E37E2">
              <w:t xml:space="preserve">hân cấp quản lý duy tu, bảo dưỡng hệ thống đê điều </w:t>
            </w:r>
            <w:r w:rsidRPr="006E37E2">
              <w:rPr>
                <w:iCs/>
              </w:rPr>
              <w:t>của tỉnh Kiên Giang trước đây (tỉnh An Giang (cũ) chưa ban hành Quyết định thực hiện nội dung này).</w:t>
            </w:r>
          </w:p>
          <w:p w14:paraId="11F5D9FB" w14:textId="3A804765" w:rsidR="00D725F6" w:rsidRPr="006E37E2" w:rsidRDefault="00F937BD" w:rsidP="00F937BD">
            <w:pPr>
              <w:spacing w:before="60" w:after="60"/>
              <w:jc w:val="both"/>
              <w:rPr>
                <w:iCs/>
              </w:rPr>
            </w:pPr>
            <w:r w:rsidRPr="006E37E2">
              <w:rPr>
                <w:iCs/>
              </w:rPr>
              <w:lastRenderedPageBreak/>
              <w:t>Đồng thời, dự thảo Quyết định đã điều chỉnh lại mô hình phân cấp quản lý cho phù hợp với cơ cấu tổ chức chính quyền địa phương hiện nay khi không còn cấp huyện.</w:t>
            </w:r>
          </w:p>
        </w:tc>
      </w:tr>
      <w:tr w:rsidR="006E37E2" w:rsidRPr="006E37E2" w14:paraId="77F80A30" w14:textId="77777777" w:rsidTr="00667748">
        <w:trPr>
          <w:jc w:val="center"/>
        </w:trPr>
        <w:tc>
          <w:tcPr>
            <w:tcW w:w="5807" w:type="dxa"/>
          </w:tcPr>
          <w:p w14:paraId="0C5C5C92" w14:textId="77777777" w:rsidR="004554EA" w:rsidRPr="006E37E2" w:rsidRDefault="004554EA" w:rsidP="004554EA">
            <w:pPr>
              <w:pStyle w:val="NormalWeb"/>
              <w:spacing w:before="60" w:beforeAutospacing="0" w:after="60" w:afterAutospacing="0"/>
              <w:jc w:val="both"/>
              <w:rPr>
                <w:b/>
                <w:bCs/>
              </w:rPr>
            </w:pPr>
            <w:r w:rsidRPr="006E37E2">
              <w:rPr>
                <w:b/>
                <w:bCs/>
              </w:rPr>
              <w:lastRenderedPageBreak/>
              <w:t>Điều 3. Trách nhiệm của các cơ quan, đơn vị</w:t>
            </w:r>
          </w:p>
          <w:p w14:paraId="4E58096E" w14:textId="77777777" w:rsidR="004554EA" w:rsidRPr="006E37E2" w:rsidRDefault="004554EA" w:rsidP="004554EA">
            <w:pPr>
              <w:pStyle w:val="NormalWeb"/>
              <w:spacing w:before="60" w:beforeAutospacing="0" w:after="60" w:afterAutospacing="0"/>
              <w:jc w:val="both"/>
            </w:pPr>
            <w:r w:rsidRPr="006E37E2">
              <w:t>1. Sở Nông nghiệp và Phát triển nông thôn</w:t>
            </w:r>
          </w:p>
          <w:p w14:paraId="226EAA3D" w14:textId="77777777" w:rsidR="004554EA" w:rsidRPr="006E37E2" w:rsidRDefault="004554EA" w:rsidP="004554EA">
            <w:pPr>
              <w:pStyle w:val="NormalWeb"/>
              <w:spacing w:before="60" w:beforeAutospacing="0" w:after="60" w:afterAutospacing="0"/>
              <w:jc w:val="both"/>
            </w:pPr>
            <w:r w:rsidRPr="006E37E2">
              <w:t>a) Chủ trì, phối hợp với các sở, ban, ngành có liên quan, Ủy ban nhân dân cấp huyện triển khai hiệu quả công tác duy tu, bảo dưỡng hệ thống đê điều trên địa bàn tỉnh.</w:t>
            </w:r>
          </w:p>
          <w:p w14:paraId="0A85A182" w14:textId="77777777" w:rsidR="004554EA" w:rsidRPr="006E37E2" w:rsidRDefault="004554EA" w:rsidP="004554EA">
            <w:pPr>
              <w:pStyle w:val="NormalWeb"/>
              <w:spacing w:before="60" w:beforeAutospacing="0" w:after="60" w:afterAutospacing="0"/>
              <w:jc w:val="both"/>
            </w:pPr>
            <w:r w:rsidRPr="006E37E2">
              <w:t>b) Thường xuyên rà soát, cập nhật, bổ sung, tổng hợp các tuyến đê, công trình xây dựng trên hệ thống đê điều trong địa bàn tỉnh, báo cáo Ủy ban nhân dân tỉnh xem xét, quyết định.</w:t>
            </w:r>
          </w:p>
          <w:p w14:paraId="4391A64F" w14:textId="77777777" w:rsidR="004554EA" w:rsidRPr="006E37E2" w:rsidRDefault="004554EA" w:rsidP="004554EA">
            <w:pPr>
              <w:pStyle w:val="NormalWeb"/>
              <w:spacing w:before="60" w:beforeAutospacing="0" w:after="60" w:afterAutospacing="0"/>
              <w:jc w:val="both"/>
            </w:pPr>
            <w:r w:rsidRPr="006E37E2">
              <w:t>2. Sở Giao thông vận tải</w:t>
            </w:r>
          </w:p>
          <w:p w14:paraId="45A5F360" w14:textId="77777777" w:rsidR="004554EA" w:rsidRPr="006E37E2" w:rsidRDefault="004554EA" w:rsidP="004554EA">
            <w:pPr>
              <w:pStyle w:val="NormalWeb"/>
              <w:spacing w:before="60" w:beforeAutospacing="0" w:after="60" w:afterAutospacing="0"/>
              <w:jc w:val="both"/>
            </w:pPr>
            <w:r w:rsidRPr="006E37E2">
              <w:t>a) Thường xuyên rà soát, cập nhật, bổ sung danh mục các công trình giao thông xây dựng trên hệ thống đê điều gửi về Sở Nông nghiệp và Phát triển nông thôn tổng hợp, báo cáo Ủy ban nhân dân tỉnh.</w:t>
            </w:r>
          </w:p>
          <w:p w14:paraId="0A767914" w14:textId="77777777" w:rsidR="004554EA" w:rsidRPr="006E37E2" w:rsidRDefault="004554EA" w:rsidP="004554EA">
            <w:pPr>
              <w:pStyle w:val="NormalWeb"/>
              <w:spacing w:before="60" w:beforeAutospacing="0" w:after="60" w:afterAutospacing="0"/>
              <w:jc w:val="both"/>
            </w:pPr>
            <w:r w:rsidRPr="006E37E2">
              <w:t>b) Khi thực hiện công tác duy tu, bảo trì công trình giao thông trên đê phải tuân thủ quy định pháp luật về giao thông đường bộ và các tiêu chuẩn, kỹ thuật trong công tác duy tu, bảo trì kết cấu hạ tầng giao thông. Đồng thời, phải đảm bảo tuân thủ quy định pháp luật về đê điều và các tiêu chuẩn, kỹ thuật trong công tác duy tu, bão dưỡng đê điều.</w:t>
            </w:r>
          </w:p>
          <w:p w14:paraId="7E0FA783" w14:textId="77777777" w:rsidR="004554EA" w:rsidRPr="006E37E2" w:rsidRDefault="004554EA" w:rsidP="004554EA">
            <w:pPr>
              <w:pStyle w:val="NormalWeb"/>
              <w:spacing w:before="60" w:beforeAutospacing="0" w:after="60" w:afterAutospacing="0"/>
              <w:jc w:val="both"/>
            </w:pPr>
            <w:r w:rsidRPr="006E37E2">
              <w:t>3. Ủy ban nhân dân cấp huyện</w:t>
            </w:r>
          </w:p>
          <w:p w14:paraId="399A5615" w14:textId="77777777" w:rsidR="004554EA" w:rsidRPr="006E37E2" w:rsidRDefault="004554EA" w:rsidP="004554EA">
            <w:pPr>
              <w:pStyle w:val="NormalWeb"/>
              <w:spacing w:before="60" w:beforeAutospacing="0" w:after="60" w:afterAutospacing="0"/>
              <w:jc w:val="both"/>
            </w:pPr>
            <w:r w:rsidRPr="006E37E2">
              <w:t>a) Định kỳ hằng năm tổ chức rà soát, cập nhật, bổ sung, tổng hợp hệ thống đê điều trên địa bàn huyện, gửi về Sở Nông nghiệp và Phát triển nông thôn tổng hợp, báo cáo Ủy ban nhân dân tỉnh.</w:t>
            </w:r>
          </w:p>
          <w:p w14:paraId="79FEEE3B" w14:textId="77B2849F" w:rsidR="0049224F" w:rsidRPr="006E37E2" w:rsidRDefault="004554EA" w:rsidP="004554EA">
            <w:pPr>
              <w:pStyle w:val="NormalWeb"/>
              <w:spacing w:before="60" w:beforeAutospacing="0" w:after="60" w:afterAutospacing="0"/>
              <w:jc w:val="both"/>
              <w:rPr>
                <w:b/>
                <w:bCs/>
              </w:rPr>
            </w:pPr>
            <w:r w:rsidRPr="006E37E2">
              <w:t>b) Phối hợp với các cơ quan, đơn vị có liên quan trong công tác duy tu, bảo dưỡng hệ thống đê điều trên địa bàn huyện.</w:t>
            </w:r>
          </w:p>
        </w:tc>
        <w:tc>
          <w:tcPr>
            <w:tcW w:w="6095" w:type="dxa"/>
          </w:tcPr>
          <w:p w14:paraId="2F9A3B0C" w14:textId="77777777" w:rsidR="00E01EE3" w:rsidRPr="006E37E2" w:rsidRDefault="00E01EE3" w:rsidP="00E01EE3">
            <w:pPr>
              <w:pStyle w:val="NormalWeb"/>
              <w:spacing w:before="60" w:beforeAutospacing="0" w:after="60" w:afterAutospacing="0"/>
              <w:jc w:val="both"/>
              <w:rPr>
                <w:b/>
                <w:bCs/>
              </w:rPr>
            </w:pPr>
            <w:bookmarkStart w:id="2" w:name="_Hlk226314799"/>
            <w:r w:rsidRPr="006E37E2">
              <w:rPr>
                <w:b/>
                <w:bCs/>
              </w:rPr>
              <w:t>Điều 3. Trách nhiệm của các cơ quan, đơn vị</w:t>
            </w:r>
          </w:p>
          <w:bookmarkEnd w:id="2"/>
          <w:p w14:paraId="4AD80311" w14:textId="77777777" w:rsidR="00E01EE3" w:rsidRPr="006E37E2" w:rsidRDefault="00E01EE3" w:rsidP="00E01EE3">
            <w:pPr>
              <w:pStyle w:val="NormalWeb"/>
              <w:spacing w:before="60" w:beforeAutospacing="0" w:after="60" w:afterAutospacing="0"/>
              <w:jc w:val="both"/>
            </w:pPr>
            <w:r w:rsidRPr="006E37E2">
              <w:t>1. Sở Nông nghiệp và Môi trường</w:t>
            </w:r>
          </w:p>
          <w:p w14:paraId="5BFA767F" w14:textId="77777777" w:rsidR="00E01EE3" w:rsidRPr="006E37E2" w:rsidRDefault="00E01EE3" w:rsidP="00E01EE3">
            <w:pPr>
              <w:pStyle w:val="NormalWeb"/>
              <w:spacing w:before="60" w:beforeAutospacing="0" w:after="60" w:afterAutospacing="0"/>
              <w:jc w:val="both"/>
            </w:pPr>
            <w:r w:rsidRPr="006E37E2">
              <w:t>a) Chủ trì, phối hợp với các sở, ban, ngành có liên quan, Ủy ban nhân dân cấp xã triển khai hiệu quả công tác duy tu, bảo dưỡng hệ thống đê điều trên địa bàn tỉnh.</w:t>
            </w:r>
          </w:p>
          <w:p w14:paraId="32A0BF61" w14:textId="77777777" w:rsidR="00E01EE3" w:rsidRPr="006E37E2" w:rsidRDefault="00E01EE3" w:rsidP="00E01EE3">
            <w:pPr>
              <w:pStyle w:val="NormalWeb"/>
              <w:spacing w:before="60" w:beforeAutospacing="0" w:after="60" w:afterAutospacing="0"/>
              <w:jc w:val="both"/>
            </w:pPr>
            <w:r w:rsidRPr="006E37E2">
              <w:t>b) Thường xuyên rà soát, cập nhật, bổ sung, tổng hợp các tuyến đê, công trình xây dựng trên hệ thống đê điều trong địa bàn tỉnh, báo cáo Ủy ban nhân dân tỉnh xem xét, quyết định.</w:t>
            </w:r>
          </w:p>
          <w:p w14:paraId="5BDAAC86" w14:textId="77777777" w:rsidR="00E01EE3" w:rsidRPr="006E37E2" w:rsidRDefault="00E01EE3" w:rsidP="00E01EE3">
            <w:pPr>
              <w:pStyle w:val="NormalWeb"/>
              <w:spacing w:before="60" w:beforeAutospacing="0" w:after="60" w:afterAutospacing="0"/>
              <w:jc w:val="both"/>
            </w:pPr>
            <w:r w:rsidRPr="006E37E2">
              <w:t>2. Sở Xây dựng</w:t>
            </w:r>
          </w:p>
          <w:p w14:paraId="6F198B09" w14:textId="77777777" w:rsidR="00E01EE3" w:rsidRPr="006E37E2" w:rsidRDefault="00E01EE3" w:rsidP="00E01EE3">
            <w:pPr>
              <w:pStyle w:val="NormalWeb"/>
              <w:spacing w:before="60" w:beforeAutospacing="0" w:after="60" w:afterAutospacing="0"/>
              <w:jc w:val="both"/>
            </w:pPr>
            <w:r w:rsidRPr="006E37E2">
              <w:t>a) Thường xuyên rà soát, cập nhật, bổ sung danh mục các công trình giao thông xây dựng trên hệ thống đê điều gửi về Sở Nông nghiệp và Môi trường tổng hợp, báo cáo Ủy ban nhân dân tỉnh.</w:t>
            </w:r>
          </w:p>
          <w:p w14:paraId="41F7C9DC" w14:textId="77777777" w:rsidR="00E01EE3" w:rsidRPr="006E37E2" w:rsidRDefault="00E01EE3" w:rsidP="00E01EE3">
            <w:pPr>
              <w:pStyle w:val="NormalWeb"/>
              <w:spacing w:before="60" w:beforeAutospacing="0" w:after="60" w:afterAutospacing="0"/>
              <w:jc w:val="both"/>
            </w:pPr>
            <w:r w:rsidRPr="006E37E2">
              <w:t>b) Khi thực hiện công tác duy tu, bảo trì công trình giao thông trên đê phải tuân thủ quy định pháp luật về giao thông đường bộ và các tiêu chuẩn, kỹ thuật trong công tác duy tu, bảo trì kết cấu hạ tầng giao thông. Đồng thời, phải đảm bảo tuân thủ quy định pháp luật về đê điều và các tiêu chuẩn, kỹ thuật trong công tác duy tu, bão dưỡng đê điều.</w:t>
            </w:r>
          </w:p>
          <w:p w14:paraId="5A07E4D9" w14:textId="77777777" w:rsidR="00E01EE3" w:rsidRPr="006E37E2" w:rsidRDefault="00E01EE3" w:rsidP="00E01EE3">
            <w:pPr>
              <w:pStyle w:val="NormalWeb"/>
              <w:spacing w:before="60" w:beforeAutospacing="0" w:after="60" w:afterAutospacing="0"/>
              <w:jc w:val="both"/>
            </w:pPr>
            <w:r w:rsidRPr="006E37E2">
              <w:t>3. Ủy ban nhân dân cấp xã</w:t>
            </w:r>
          </w:p>
          <w:p w14:paraId="7BE33032" w14:textId="77777777" w:rsidR="00E01EE3" w:rsidRPr="006E37E2" w:rsidRDefault="00E01EE3" w:rsidP="00E01EE3">
            <w:pPr>
              <w:pStyle w:val="NormalWeb"/>
              <w:spacing w:before="60" w:beforeAutospacing="0" w:after="60" w:afterAutospacing="0"/>
              <w:jc w:val="both"/>
            </w:pPr>
            <w:r w:rsidRPr="006E37E2">
              <w:t>a) Định kỳ hằng năm tổ chức rà soát, cập nhật, bổ sung, tổng hợp hệ thống đê điều trên địa bàn xã, gửi về Sở Nông nghiệp và Môi trường tổng hợp, báo cáo Ủy ban nhân dân tỉnh.</w:t>
            </w:r>
          </w:p>
          <w:p w14:paraId="440649E4" w14:textId="0E723825" w:rsidR="0049224F" w:rsidRPr="006E37E2" w:rsidRDefault="00E01EE3" w:rsidP="00E01EE3">
            <w:pPr>
              <w:pStyle w:val="NormalWeb"/>
              <w:spacing w:before="60" w:beforeAutospacing="0" w:after="60" w:afterAutospacing="0"/>
              <w:jc w:val="both"/>
            </w:pPr>
            <w:r w:rsidRPr="006E37E2">
              <w:t>b) Phối hợp với các cơ quan, đơn vị có liên quan trong công tác duy tu, bảo dưỡng hệ thống đê điều trên địa bàn xã, phường, đặc khu.</w:t>
            </w:r>
          </w:p>
        </w:tc>
        <w:tc>
          <w:tcPr>
            <w:tcW w:w="3828" w:type="dxa"/>
          </w:tcPr>
          <w:p w14:paraId="566F8AA9" w14:textId="77777777" w:rsidR="00E01EE3" w:rsidRPr="006E37E2" w:rsidRDefault="00E01EE3" w:rsidP="00E01EE3">
            <w:pPr>
              <w:spacing w:before="60" w:after="60"/>
              <w:jc w:val="both"/>
              <w:rPr>
                <w:iCs/>
              </w:rPr>
            </w:pPr>
            <w:r w:rsidRPr="006E37E2">
              <w:rPr>
                <w:iCs/>
              </w:rPr>
              <w:t>Nội dung này được rà soát và điều chỉnh để phù hợp với chức năng, nhiệm vụ của các cơ quan sau khi thực hiện sắp xếp tổ chức bộ máy nhà nước theo quy định mới.</w:t>
            </w:r>
          </w:p>
          <w:p w14:paraId="102758D4" w14:textId="2FC4DCF4" w:rsidR="00E01EE3" w:rsidRPr="006E37E2" w:rsidRDefault="00E01EE3" w:rsidP="00E01EE3">
            <w:pPr>
              <w:spacing w:before="60" w:after="60"/>
              <w:jc w:val="both"/>
              <w:rPr>
                <w:iCs/>
              </w:rPr>
            </w:pPr>
            <w:r w:rsidRPr="006E37E2">
              <w:rPr>
                <w:iCs/>
              </w:rPr>
              <w:t>Việc quy định như trên nhằm bảo đảm rõ trách nhiệm của từng cấp quản lý, góp phần nâng cao hiệu lực, hiệu quả quản lý Nhà nước trong lĩnh vực đê điều.</w:t>
            </w:r>
          </w:p>
          <w:p w14:paraId="404D7E6E" w14:textId="10B0E443" w:rsidR="0049224F" w:rsidRPr="006E37E2" w:rsidRDefault="0049224F" w:rsidP="00AE6DAF">
            <w:pPr>
              <w:spacing w:before="60" w:after="60"/>
              <w:jc w:val="both"/>
              <w:rPr>
                <w:iCs/>
              </w:rPr>
            </w:pPr>
          </w:p>
        </w:tc>
      </w:tr>
      <w:tr w:rsidR="006E37E2" w:rsidRPr="006E37E2" w14:paraId="68D86CDD" w14:textId="77777777" w:rsidTr="00667748">
        <w:trPr>
          <w:jc w:val="center"/>
        </w:trPr>
        <w:tc>
          <w:tcPr>
            <w:tcW w:w="5807" w:type="dxa"/>
          </w:tcPr>
          <w:p w14:paraId="3F384BFC" w14:textId="77777777" w:rsidR="00E01EE3" w:rsidRPr="006E37E2" w:rsidRDefault="00E01EE3" w:rsidP="00E01EE3">
            <w:pPr>
              <w:pStyle w:val="NormalWeb"/>
              <w:spacing w:before="60" w:beforeAutospacing="0" w:after="60" w:afterAutospacing="0"/>
              <w:jc w:val="both"/>
              <w:rPr>
                <w:b/>
                <w:bCs/>
              </w:rPr>
            </w:pPr>
            <w:r w:rsidRPr="006E37E2">
              <w:rPr>
                <w:b/>
                <w:bCs/>
              </w:rPr>
              <w:t>Điều 4. Điều khoản thi hành</w:t>
            </w:r>
          </w:p>
          <w:p w14:paraId="6DC7D591" w14:textId="77777777" w:rsidR="00E01EE3" w:rsidRPr="006E37E2" w:rsidRDefault="00E01EE3" w:rsidP="00E01EE3">
            <w:pPr>
              <w:pStyle w:val="NormalWeb"/>
              <w:spacing w:before="60" w:beforeAutospacing="0" w:after="60" w:afterAutospacing="0"/>
              <w:jc w:val="both"/>
            </w:pPr>
            <w:r w:rsidRPr="006E37E2">
              <w:t xml:space="preserve">Chánh Văn phòng Ủy ban nhân dân tỉnh, Giám đốc (Thủ trưởng) các sở, ban, ngành cấp tỉnh; Chủ tịch Ủy ban nhân dân các huyện, thành phố; Chủ tịch Ủy ban nhân dân các </w:t>
            </w:r>
            <w:r w:rsidRPr="006E37E2">
              <w:lastRenderedPageBreak/>
              <w:t>xã, phường, thị trấn và các tổ chức, cá nhân có liên quan chịu trách nhiệm thi hành Quyết định này.</w:t>
            </w:r>
          </w:p>
          <w:p w14:paraId="2658FF68" w14:textId="5249DEE3" w:rsidR="00E01EE3" w:rsidRPr="006E37E2" w:rsidRDefault="00E01EE3" w:rsidP="00E01EE3">
            <w:pPr>
              <w:pStyle w:val="NormalWeb"/>
              <w:spacing w:before="60" w:beforeAutospacing="0" w:after="60" w:afterAutospacing="0"/>
              <w:jc w:val="both"/>
            </w:pPr>
            <w:r w:rsidRPr="006E37E2">
              <w:t>Quyết định này có hiệu lực kể từ ngày</w:t>
            </w:r>
            <w:r w:rsidR="00E2521A" w:rsidRPr="006E37E2">
              <w:t xml:space="preserve"> 01 </w:t>
            </w:r>
            <w:r w:rsidRPr="006E37E2">
              <w:t>tháng</w:t>
            </w:r>
            <w:r w:rsidR="00E2521A" w:rsidRPr="006E37E2">
              <w:t xml:space="preserve"> 6 </w:t>
            </w:r>
            <w:r w:rsidRPr="006E37E2">
              <w:t>năm 2022./.</w:t>
            </w:r>
          </w:p>
          <w:p w14:paraId="73F6A0CA" w14:textId="6D31A00D" w:rsidR="008D7110" w:rsidRPr="006E37E2" w:rsidRDefault="008D7110" w:rsidP="00E01EE3">
            <w:pPr>
              <w:pStyle w:val="NormalWeb"/>
              <w:spacing w:before="60" w:beforeAutospacing="0" w:after="60" w:afterAutospacing="0"/>
              <w:jc w:val="both"/>
            </w:pPr>
          </w:p>
        </w:tc>
        <w:tc>
          <w:tcPr>
            <w:tcW w:w="6095" w:type="dxa"/>
          </w:tcPr>
          <w:p w14:paraId="58DC85B0" w14:textId="77777777" w:rsidR="003710AB" w:rsidRPr="006E37E2" w:rsidRDefault="003710AB" w:rsidP="003710AB">
            <w:pPr>
              <w:pStyle w:val="NormalWeb"/>
              <w:spacing w:before="60" w:beforeAutospacing="0" w:after="60" w:afterAutospacing="0"/>
              <w:jc w:val="both"/>
              <w:rPr>
                <w:b/>
                <w:bCs/>
              </w:rPr>
            </w:pPr>
            <w:bookmarkStart w:id="3" w:name="_Hlk226314820"/>
            <w:r w:rsidRPr="006E37E2">
              <w:rPr>
                <w:b/>
                <w:bCs/>
              </w:rPr>
              <w:lastRenderedPageBreak/>
              <w:t>Điều 4. Điều khoản thi hành</w:t>
            </w:r>
          </w:p>
          <w:bookmarkEnd w:id="3"/>
          <w:p w14:paraId="1F0185C2" w14:textId="77777777" w:rsidR="003710AB" w:rsidRPr="006E37E2" w:rsidRDefault="003710AB" w:rsidP="003710AB">
            <w:pPr>
              <w:pStyle w:val="NormalWeb"/>
              <w:spacing w:before="60" w:beforeAutospacing="0" w:after="60" w:afterAutospacing="0"/>
              <w:jc w:val="both"/>
            </w:pPr>
            <w:r w:rsidRPr="006E37E2">
              <w:t>1. Chánh Văn phòng Ủy ban nhân dân tỉnh, Giám đốc (Thủ trưởng) các sở, ban, ngành cấp tỉnh; Chủ tịch Ủy ban nhân dân các xã, phường, đặc khu và các cơ quan, tổ chức, cá nhân có liên quan chịu trách nhiệm thi hành Quyết định này.</w:t>
            </w:r>
          </w:p>
          <w:p w14:paraId="18752EA2" w14:textId="77777777" w:rsidR="003710AB" w:rsidRPr="006E37E2" w:rsidRDefault="003710AB" w:rsidP="003710AB">
            <w:pPr>
              <w:pStyle w:val="NormalWeb"/>
              <w:spacing w:before="60" w:beforeAutospacing="0" w:after="60" w:afterAutospacing="0"/>
              <w:jc w:val="both"/>
            </w:pPr>
            <w:r w:rsidRPr="006E37E2">
              <w:lastRenderedPageBreak/>
              <w:t>2. Quyết định này có hiệu lực kể từ ngày ký ban hành và thay thế Quyết định số 07/2022/QĐ-UBND ngày 13 tháng 5 năm 2022 của Ủy ban nhân dân tỉnh Kiên Giang quy định phân cấp quản lý duy tu, bảo dưỡng hệ thống đê điều trên địa bàn tỉnh Kiên Giang./.</w:t>
            </w:r>
          </w:p>
          <w:p w14:paraId="57835420" w14:textId="1E8BB14A" w:rsidR="008D7110" w:rsidRPr="006E37E2" w:rsidRDefault="008D7110" w:rsidP="003710AB">
            <w:pPr>
              <w:pStyle w:val="NormalWeb"/>
              <w:spacing w:before="60" w:beforeAutospacing="0" w:after="60" w:afterAutospacing="0"/>
              <w:jc w:val="both"/>
            </w:pPr>
          </w:p>
        </w:tc>
        <w:tc>
          <w:tcPr>
            <w:tcW w:w="3828" w:type="dxa"/>
          </w:tcPr>
          <w:p w14:paraId="690BF72D" w14:textId="0B166C71" w:rsidR="00902979" w:rsidRPr="006E37E2" w:rsidRDefault="00902979" w:rsidP="00C03227">
            <w:pPr>
              <w:spacing w:before="60" w:after="60"/>
              <w:jc w:val="both"/>
              <w:rPr>
                <w:iCs/>
              </w:rPr>
            </w:pPr>
            <w:r w:rsidRPr="006E37E2">
              <w:rPr>
                <w:iCs/>
              </w:rPr>
              <w:lastRenderedPageBreak/>
              <w:t>Nội dung này được điều chỉnh để phù hợp với cơ cấu tổ chức hành chính của tỉnh sau khi thực hiện sắp xếp đơn vị hành chính và không còn cấp huyện.</w:t>
            </w:r>
          </w:p>
          <w:p w14:paraId="3929F5C0" w14:textId="4F2211A6" w:rsidR="00C03227" w:rsidRPr="006E37E2" w:rsidRDefault="00C03227" w:rsidP="00C03227">
            <w:pPr>
              <w:spacing w:before="60" w:after="60"/>
              <w:jc w:val="both"/>
              <w:rPr>
                <w:iCs/>
              </w:rPr>
            </w:pPr>
            <w:r w:rsidRPr="006E37E2">
              <w:rPr>
                <w:iCs/>
              </w:rPr>
              <w:lastRenderedPageBreak/>
              <w:t xml:space="preserve">Quy định này nhằm xác định rõ hiệu lực thi hành của Quyết định mới và đồng thời bãi bỏ các văn bản quy phạm pháp luật trước đây của tỉnh Kiên Giang liên quan đến phân cấp </w:t>
            </w:r>
            <w:r w:rsidRPr="006E37E2">
              <w:t>quản lý duy tu, bảo dưỡng hệ thống đê điều</w:t>
            </w:r>
            <w:r w:rsidRPr="006E37E2">
              <w:rPr>
                <w:iCs/>
              </w:rPr>
              <w:t>.</w:t>
            </w:r>
          </w:p>
          <w:p w14:paraId="643F3B72" w14:textId="38EC3B21" w:rsidR="008D7110" w:rsidRPr="006E37E2" w:rsidRDefault="00C03227" w:rsidP="00902979">
            <w:pPr>
              <w:spacing w:before="60" w:after="60"/>
              <w:jc w:val="both"/>
              <w:rPr>
                <w:iCs/>
              </w:rPr>
            </w:pPr>
            <w:r w:rsidRPr="006E37E2">
              <w:rPr>
                <w:iCs/>
              </w:rPr>
              <w:t>Việc bãi bỏ các văn bản nêu trên nhằm bảo đảm sự thống nhất trong hệ thống văn bản quy phạm pháp luật của tỉnh An Giang sau khi hợp nhất tỉnh</w:t>
            </w:r>
            <w:r w:rsidR="00902979" w:rsidRPr="006E37E2">
              <w:rPr>
                <w:iCs/>
              </w:rPr>
              <w:t>.</w:t>
            </w:r>
          </w:p>
        </w:tc>
      </w:tr>
    </w:tbl>
    <w:p w14:paraId="5B063286" w14:textId="77777777" w:rsidR="00500AB3" w:rsidRPr="00371487" w:rsidRDefault="00500AB3" w:rsidP="00AE6DAF">
      <w:pPr>
        <w:spacing w:before="60" w:after="60"/>
        <w:ind w:firstLine="709"/>
        <w:jc w:val="both"/>
        <w:rPr>
          <w:sz w:val="28"/>
        </w:rPr>
      </w:pPr>
    </w:p>
    <w:sectPr w:rsidR="00500AB3" w:rsidRPr="00371487" w:rsidSect="00667748">
      <w:headerReference w:type="default" r:id="rId7"/>
      <w:headerReference w:type="first" r:id="rId8"/>
      <w:pgSz w:w="16834" w:h="11909"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FCC1" w14:textId="77777777" w:rsidR="00201EDC" w:rsidRDefault="00201EDC" w:rsidP="003B31A0">
      <w:r>
        <w:separator/>
      </w:r>
    </w:p>
  </w:endnote>
  <w:endnote w:type="continuationSeparator" w:id="0">
    <w:p w14:paraId="0BFB52F0" w14:textId="77777777" w:rsidR="00201EDC" w:rsidRDefault="00201EDC" w:rsidP="003B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9E4A" w14:textId="77777777" w:rsidR="00201EDC" w:rsidRDefault="00201EDC" w:rsidP="003B31A0">
      <w:r>
        <w:separator/>
      </w:r>
    </w:p>
  </w:footnote>
  <w:footnote w:type="continuationSeparator" w:id="0">
    <w:p w14:paraId="4BDF7B01" w14:textId="77777777" w:rsidR="00201EDC" w:rsidRDefault="00201EDC" w:rsidP="003B3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4067" w14:textId="531338C9" w:rsidR="00C03187" w:rsidRDefault="00C03187">
    <w:pPr>
      <w:pStyle w:val="Header"/>
      <w:jc w:val="center"/>
    </w:pPr>
    <w:r>
      <w:fldChar w:fldCharType="begin"/>
    </w:r>
    <w:r>
      <w:instrText xml:space="preserve"> PAGE   \* MERGEFORMAT </w:instrText>
    </w:r>
    <w:r>
      <w:fldChar w:fldCharType="separate"/>
    </w:r>
    <w:r w:rsidR="003F0FBA">
      <w:rPr>
        <w:noProof/>
      </w:rPr>
      <w:t>2</w:t>
    </w:r>
    <w:r>
      <w:rPr>
        <w:noProof/>
      </w:rPr>
      <w:fldChar w:fldCharType="end"/>
    </w:r>
  </w:p>
  <w:p w14:paraId="192278A0" w14:textId="77777777" w:rsidR="00C03187" w:rsidRDefault="00C031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37F8" w14:textId="2087CDE0" w:rsidR="00C03187" w:rsidRPr="00C03187" w:rsidRDefault="00C03187">
    <w:pPr>
      <w:pStyle w:val="Header"/>
      <w:jc w:val="center"/>
      <w:rPr>
        <w:color w:val="FFFFFF"/>
      </w:rPr>
    </w:pPr>
    <w:r w:rsidRPr="00C03187">
      <w:rPr>
        <w:color w:val="FFFFFF"/>
      </w:rPr>
      <w:fldChar w:fldCharType="begin"/>
    </w:r>
    <w:r w:rsidRPr="00C03187">
      <w:rPr>
        <w:color w:val="FFFFFF"/>
      </w:rPr>
      <w:instrText xml:space="preserve"> PAGE   \* MERGEFORMAT </w:instrText>
    </w:r>
    <w:r w:rsidRPr="00C03187">
      <w:rPr>
        <w:color w:val="FFFFFF"/>
      </w:rPr>
      <w:fldChar w:fldCharType="separate"/>
    </w:r>
    <w:r w:rsidR="003F0FBA">
      <w:rPr>
        <w:noProof/>
        <w:color w:val="FFFFFF"/>
      </w:rPr>
      <w:t>1</w:t>
    </w:r>
    <w:r w:rsidRPr="00C03187">
      <w:rPr>
        <w:noProof/>
        <w:color w:val="FFFFFF"/>
      </w:rPr>
      <w:fldChar w:fldCharType="end"/>
    </w:r>
  </w:p>
  <w:p w14:paraId="2C4DECE0" w14:textId="77777777" w:rsidR="00C03187" w:rsidRDefault="00C031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D5D"/>
    <w:multiLevelType w:val="hybridMultilevel"/>
    <w:tmpl w:val="63F4EA8A"/>
    <w:lvl w:ilvl="0" w:tplc="D750D6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A5DC3"/>
    <w:multiLevelType w:val="hybridMultilevel"/>
    <w:tmpl w:val="C97C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5D21"/>
    <w:multiLevelType w:val="multilevel"/>
    <w:tmpl w:val="FA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E662B"/>
    <w:multiLevelType w:val="hybridMultilevel"/>
    <w:tmpl w:val="321E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E6D85"/>
    <w:multiLevelType w:val="hybridMultilevel"/>
    <w:tmpl w:val="B4A81626"/>
    <w:lvl w:ilvl="0" w:tplc="EBD83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523451A"/>
    <w:multiLevelType w:val="hybridMultilevel"/>
    <w:tmpl w:val="1188DFD8"/>
    <w:lvl w:ilvl="0" w:tplc="3864E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63D6B"/>
    <w:multiLevelType w:val="hybridMultilevel"/>
    <w:tmpl w:val="93E68770"/>
    <w:lvl w:ilvl="0" w:tplc="1BF4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D454B"/>
    <w:multiLevelType w:val="hybridMultilevel"/>
    <w:tmpl w:val="2466DF40"/>
    <w:lvl w:ilvl="0" w:tplc="447A8768">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068F1"/>
    <w:multiLevelType w:val="hybridMultilevel"/>
    <w:tmpl w:val="29BC948A"/>
    <w:lvl w:ilvl="0" w:tplc="CD500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45363A"/>
    <w:multiLevelType w:val="hybridMultilevel"/>
    <w:tmpl w:val="48484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9"/>
  </w:num>
  <w:num w:numId="6">
    <w:abstractNumId w:val="8"/>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C3"/>
    <w:rsid w:val="00000E49"/>
    <w:rsid w:val="000061A4"/>
    <w:rsid w:val="000073F4"/>
    <w:rsid w:val="00010D93"/>
    <w:rsid w:val="00013B8D"/>
    <w:rsid w:val="000233AD"/>
    <w:rsid w:val="00025AC5"/>
    <w:rsid w:val="00026F09"/>
    <w:rsid w:val="000277FE"/>
    <w:rsid w:val="00031874"/>
    <w:rsid w:val="00036B21"/>
    <w:rsid w:val="00037B68"/>
    <w:rsid w:val="00041CEE"/>
    <w:rsid w:val="00042B26"/>
    <w:rsid w:val="00042BEF"/>
    <w:rsid w:val="00043C9D"/>
    <w:rsid w:val="000512A3"/>
    <w:rsid w:val="00055B14"/>
    <w:rsid w:val="00062174"/>
    <w:rsid w:val="00063E00"/>
    <w:rsid w:val="00064FD1"/>
    <w:rsid w:val="000735B8"/>
    <w:rsid w:val="00074503"/>
    <w:rsid w:val="00074923"/>
    <w:rsid w:val="00083A82"/>
    <w:rsid w:val="00092C40"/>
    <w:rsid w:val="000964C1"/>
    <w:rsid w:val="000A1297"/>
    <w:rsid w:val="000A2CFF"/>
    <w:rsid w:val="000A3F8C"/>
    <w:rsid w:val="000A605C"/>
    <w:rsid w:val="000B08C0"/>
    <w:rsid w:val="000B3428"/>
    <w:rsid w:val="000B4678"/>
    <w:rsid w:val="000B6378"/>
    <w:rsid w:val="000B77FD"/>
    <w:rsid w:val="000C3761"/>
    <w:rsid w:val="000C38CD"/>
    <w:rsid w:val="000C3957"/>
    <w:rsid w:val="000C3F3C"/>
    <w:rsid w:val="000C59D0"/>
    <w:rsid w:val="000C681F"/>
    <w:rsid w:val="000C7C65"/>
    <w:rsid w:val="000D0208"/>
    <w:rsid w:val="000D3163"/>
    <w:rsid w:val="000D5A17"/>
    <w:rsid w:val="000D5C15"/>
    <w:rsid w:val="000D5E10"/>
    <w:rsid w:val="000D633A"/>
    <w:rsid w:val="000D7806"/>
    <w:rsid w:val="000E01BF"/>
    <w:rsid w:val="000E21A0"/>
    <w:rsid w:val="000E45F0"/>
    <w:rsid w:val="000E65D0"/>
    <w:rsid w:val="000E6B92"/>
    <w:rsid w:val="000F358D"/>
    <w:rsid w:val="000F3DA4"/>
    <w:rsid w:val="001008E8"/>
    <w:rsid w:val="0010113A"/>
    <w:rsid w:val="00103AA1"/>
    <w:rsid w:val="0010481A"/>
    <w:rsid w:val="001066BD"/>
    <w:rsid w:val="001069DD"/>
    <w:rsid w:val="00110395"/>
    <w:rsid w:val="001105B3"/>
    <w:rsid w:val="00112070"/>
    <w:rsid w:val="00114F68"/>
    <w:rsid w:val="001154E9"/>
    <w:rsid w:val="00117614"/>
    <w:rsid w:val="00121B42"/>
    <w:rsid w:val="00123B72"/>
    <w:rsid w:val="00127FDF"/>
    <w:rsid w:val="00130B19"/>
    <w:rsid w:val="00130B69"/>
    <w:rsid w:val="0013560D"/>
    <w:rsid w:val="00135DF4"/>
    <w:rsid w:val="00136F52"/>
    <w:rsid w:val="00137AB3"/>
    <w:rsid w:val="00137B19"/>
    <w:rsid w:val="00142DEC"/>
    <w:rsid w:val="00143143"/>
    <w:rsid w:val="00144789"/>
    <w:rsid w:val="001471A5"/>
    <w:rsid w:val="00155E37"/>
    <w:rsid w:val="00160031"/>
    <w:rsid w:val="00160323"/>
    <w:rsid w:val="00160654"/>
    <w:rsid w:val="001609F2"/>
    <w:rsid w:val="00163896"/>
    <w:rsid w:val="00165A06"/>
    <w:rsid w:val="00165A3B"/>
    <w:rsid w:val="001667DE"/>
    <w:rsid w:val="00172440"/>
    <w:rsid w:val="00176F92"/>
    <w:rsid w:val="001771D3"/>
    <w:rsid w:val="00182068"/>
    <w:rsid w:val="00183172"/>
    <w:rsid w:val="001841A9"/>
    <w:rsid w:val="00184A03"/>
    <w:rsid w:val="001867F2"/>
    <w:rsid w:val="00186C50"/>
    <w:rsid w:val="00196822"/>
    <w:rsid w:val="001A2FB4"/>
    <w:rsid w:val="001A5D1A"/>
    <w:rsid w:val="001B0B23"/>
    <w:rsid w:val="001B0C45"/>
    <w:rsid w:val="001B19C9"/>
    <w:rsid w:val="001C1368"/>
    <w:rsid w:val="001C2670"/>
    <w:rsid w:val="001C3053"/>
    <w:rsid w:val="001C680D"/>
    <w:rsid w:val="001C68DF"/>
    <w:rsid w:val="001D37E9"/>
    <w:rsid w:val="001D42CF"/>
    <w:rsid w:val="001D6EB0"/>
    <w:rsid w:val="001D73EB"/>
    <w:rsid w:val="001D78A2"/>
    <w:rsid w:val="001E05B6"/>
    <w:rsid w:val="001E346C"/>
    <w:rsid w:val="001E4CBE"/>
    <w:rsid w:val="001F086F"/>
    <w:rsid w:val="001F2ED2"/>
    <w:rsid w:val="001F418F"/>
    <w:rsid w:val="0020135D"/>
    <w:rsid w:val="0020166E"/>
    <w:rsid w:val="00201EDC"/>
    <w:rsid w:val="002021E2"/>
    <w:rsid w:val="00204E81"/>
    <w:rsid w:val="00206078"/>
    <w:rsid w:val="00206F23"/>
    <w:rsid w:val="00207D0E"/>
    <w:rsid w:val="0021277C"/>
    <w:rsid w:val="00216890"/>
    <w:rsid w:val="002171CD"/>
    <w:rsid w:val="00217856"/>
    <w:rsid w:val="002248D4"/>
    <w:rsid w:val="00225DDB"/>
    <w:rsid w:val="00232C9F"/>
    <w:rsid w:val="00233DEF"/>
    <w:rsid w:val="00241973"/>
    <w:rsid w:val="00241A97"/>
    <w:rsid w:val="00242523"/>
    <w:rsid w:val="00243A6B"/>
    <w:rsid w:val="00246E38"/>
    <w:rsid w:val="00247669"/>
    <w:rsid w:val="00252B7B"/>
    <w:rsid w:val="00254AA9"/>
    <w:rsid w:val="002574DA"/>
    <w:rsid w:val="00262D61"/>
    <w:rsid w:val="00264370"/>
    <w:rsid w:val="0026529A"/>
    <w:rsid w:val="002676F7"/>
    <w:rsid w:val="002712BF"/>
    <w:rsid w:val="00271468"/>
    <w:rsid w:val="002728B1"/>
    <w:rsid w:val="00275AC7"/>
    <w:rsid w:val="00276951"/>
    <w:rsid w:val="00277388"/>
    <w:rsid w:val="00280F03"/>
    <w:rsid w:val="00282972"/>
    <w:rsid w:val="00283560"/>
    <w:rsid w:val="0028383E"/>
    <w:rsid w:val="00284E62"/>
    <w:rsid w:val="002869E8"/>
    <w:rsid w:val="002923F1"/>
    <w:rsid w:val="002929B2"/>
    <w:rsid w:val="00293C85"/>
    <w:rsid w:val="00293F0E"/>
    <w:rsid w:val="0029754F"/>
    <w:rsid w:val="002A0235"/>
    <w:rsid w:val="002A27A9"/>
    <w:rsid w:val="002A3E17"/>
    <w:rsid w:val="002A4710"/>
    <w:rsid w:val="002A5778"/>
    <w:rsid w:val="002A776D"/>
    <w:rsid w:val="002A7B80"/>
    <w:rsid w:val="002B407D"/>
    <w:rsid w:val="002B437A"/>
    <w:rsid w:val="002B4B1F"/>
    <w:rsid w:val="002B5344"/>
    <w:rsid w:val="002B585E"/>
    <w:rsid w:val="002C18E4"/>
    <w:rsid w:val="002C2716"/>
    <w:rsid w:val="002C4804"/>
    <w:rsid w:val="002C481C"/>
    <w:rsid w:val="002C68E4"/>
    <w:rsid w:val="002D151C"/>
    <w:rsid w:val="002D4D41"/>
    <w:rsid w:val="002E00F3"/>
    <w:rsid w:val="002E0A2A"/>
    <w:rsid w:val="002E0B5F"/>
    <w:rsid w:val="002E3895"/>
    <w:rsid w:val="002E470C"/>
    <w:rsid w:val="002E660F"/>
    <w:rsid w:val="002E73CC"/>
    <w:rsid w:val="002F591F"/>
    <w:rsid w:val="002F5E22"/>
    <w:rsid w:val="003004E0"/>
    <w:rsid w:val="00300819"/>
    <w:rsid w:val="0030268C"/>
    <w:rsid w:val="00310F25"/>
    <w:rsid w:val="003136A6"/>
    <w:rsid w:val="00314708"/>
    <w:rsid w:val="00314FC1"/>
    <w:rsid w:val="0031523E"/>
    <w:rsid w:val="003153D0"/>
    <w:rsid w:val="00315668"/>
    <w:rsid w:val="00316B89"/>
    <w:rsid w:val="00320591"/>
    <w:rsid w:val="00320618"/>
    <w:rsid w:val="003227F8"/>
    <w:rsid w:val="00325BC0"/>
    <w:rsid w:val="0033363D"/>
    <w:rsid w:val="00333D54"/>
    <w:rsid w:val="0033436D"/>
    <w:rsid w:val="003355AE"/>
    <w:rsid w:val="00335E7E"/>
    <w:rsid w:val="00336F3F"/>
    <w:rsid w:val="00336FC5"/>
    <w:rsid w:val="00345CAD"/>
    <w:rsid w:val="00345F96"/>
    <w:rsid w:val="0035049F"/>
    <w:rsid w:val="00351BE4"/>
    <w:rsid w:val="00352FB4"/>
    <w:rsid w:val="0035404E"/>
    <w:rsid w:val="00360136"/>
    <w:rsid w:val="00362231"/>
    <w:rsid w:val="003624FC"/>
    <w:rsid w:val="00362928"/>
    <w:rsid w:val="00365792"/>
    <w:rsid w:val="00366A60"/>
    <w:rsid w:val="003710AB"/>
    <w:rsid w:val="00371487"/>
    <w:rsid w:val="003731CD"/>
    <w:rsid w:val="003735CD"/>
    <w:rsid w:val="00374DE9"/>
    <w:rsid w:val="003754CC"/>
    <w:rsid w:val="003757FC"/>
    <w:rsid w:val="00376CA8"/>
    <w:rsid w:val="003833A3"/>
    <w:rsid w:val="0038449F"/>
    <w:rsid w:val="00387183"/>
    <w:rsid w:val="0038759C"/>
    <w:rsid w:val="00391877"/>
    <w:rsid w:val="00395C71"/>
    <w:rsid w:val="00395D26"/>
    <w:rsid w:val="00396706"/>
    <w:rsid w:val="00396E05"/>
    <w:rsid w:val="003A060A"/>
    <w:rsid w:val="003A073F"/>
    <w:rsid w:val="003A4361"/>
    <w:rsid w:val="003B31A0"/>
    <w:rsid w:val="003B5920"/>
    <w:rsid w:val="003C2A8F"/>
    <w:rsid w:val="003C6C14"/>
    <w:rsid w:val="003D1AB9"/>
    <w:rsid w:val="003D2FAD"/>
    <w:rsid w:val="003D3942"/>
    <w:rsid w:val="003D4AED"/>
    <w:rsid w:val="003D759F"/>
    <w:rsid w:val="003D7B43"/>
    <w:rsid w:val="003E01E5"/>
    <w:rsid w:val="003E0222"/>
    <w:rsid w:val="003E368D"/>
    <w:rsid w:val="003E583E"/>
    <w:rsid w:val="003F0FBA"/>
    <w:rsid w:val="003F5CC3"/>
    <w:rsid w:val="003F7FFE"/>
    <w:rsid w:val="00400C5C"/>
    <w:rsid w:val="004017A5"/>
    <w:rsid w:val="00402206"/>
    <w:rsid w:val="00402D4E"/>
    <w:rsid w:val="00406BCF"/>
    <w:rsid w:val="00407EFC"/>
    <w:rsid w:val="00411F96"/>
    <w:rsid w:val="00412578"/>
    <w:rsid w:val="00412F1A"/>
    <w:rsid w:val="0041381F"/>
    <w:rsid w:val="00420CD0"/>
    <w:rsid w:val="0042387D"/>
    <w:rsid w:val="004275CF"/>
    <w:rsid w:val="00427ED3"/>
    <w:rsid w:val="00430801"/>
    <w:rsid w:val="00431C22"/>
    <w:rsid w:val="00431E97"/>
    <w:rsid w:val="0043218B"/>
    <w:rsid w:val="00434CB8"/>
    <w:rsid w:val="0043533B"/>
    <w:rsid w:val="00435470"/>
    <w:rsid w:val="00441901"/>
    <w:rsid w:val="0044673A"/>
    <w:rsid w:val="004518A1"/>
    <w:rsid w:val="004551A9"/>
    <w:rsid w:val="004554EA"/>
    <w:rsid w:val="00457E74"/>
    <w:rsid w:val="00461112"/>
    <w:rsid w:val="004624D2"/>
    <w:rsid w:val="00467E1C"/>
    <w:rsid w:val="00471816"/>
    <w:rsid w:val="004747C7"/>
    <w:rsid w:val="00482295"/>
    <w:rsid w:val="00484F48"/>
    <w:rsid w:val="0048528E"/>
    <w:rsid w:val="004908AC"/>
    <w:rsid w:val="00490BE2"/>
    <w:rsid w:val="00491E23"/>
    <w:rsid w:val="0049224F"/>
    <w:rsid w:val="004942BD"/>
    <w:rsid w:val="00494A62"/>
    <w:rsid w:val="004A366D"/>
    <w:rsid w:val="004A4EAB"/>
    <w:rsid w:val="004A7208"/>
    <w:rsid w:val="004A721B"/>
    <w:rsid w:val="004B0BCD"/>
    <w:rsid w:val="004B5AEB"/>
    <w:rsid w:val="004B63AC"/>
    <w:rsid w:val="004B7169"/>
    <w:rsid w:val="004C0FC8"/>
    <w:rsid w:val="004C27D0"/>
    <w:rsid w:val="004C5887"/>
    <w:rsid w:val="004C6FB6"/>
    <w:rsid w:val="004C7647"/>
    <w:rsid w:val="004D227C"/>
    <w:rsid w:val="004D34E3"/>
    <w:rsid w:val="004D53D9"/>
    <w:rsid w:val="004E435C"/>
    <w:rsid w:val="004E59DA"/>
    <w:rsid w:val="004E7E6B"/>
    <w:rsid w:val="004F2ACB"/>
    <w:rsid w:val="004F2F3A"/>
    <w:rsid w:val="004F410D"/>
    <w:rsid w:val="004F47BB"/>
    <w:rsid w:val="004F62A6"/>
    <w:rsid w:val="004F7EB9"/>
    <w:rsid w:val="0050051A"/>
    <w:rsid w:val="00500AB3"/>
    <w:rsid w:val="00500C23"/>
    <w:rsid w:val="00500EF5"/>
    <w:rsid w:val="00501CF8"/>
    <w:rsid w:val="005027CD"/>
    <w:rsid w:val="00504AE4"/>
    <w:rsid w:val="00505AD8"/>
    <w:rsid w:val="00511384"/>
    <w:rsid w:val="00511616"/>
    <w:rsid w:val="00517621"/>
    <w:rsid w:val="00521E8D"/>
    <w:rsid w:val="005227AB"/>
    <w:rsid w:val="005247C3"/>
    <w:rsid w:val="00524BBC"/>
    <w:rsid w:val="00525930"/>
    <w:rsid w:val="00525BE1"/>
    <w:rsid w:val="00526A16"/>
    <w:rsid w:val="0052786E"/>
    <w:rsid w:val="00531C96"/>
    <w:rsid w:val="00532F4C"/>
    <w:rsid w:val="00532FCC"/>
    <w:rsid w:val="0053745C"/>
    <w:rsid w:val="00542DDE"/>
    <w:rsid w:val="00545CFC"/>
    <w:rsid w:val="00546B40"/>
    <w:rsid w:val="005473DA"/>
    <w:rsid w:val="0055005E"/>
    <w:rsid w:val="0055088A"/>
    <w:rsid w:val="0055389E"/>
    <w:rsid w:val="005541E7"/>
    <w:rsid w:val="00560612"/>
    <w:rsid w:val="00561BA3"/>
    <w:rsid w:val="00562786"/>
    <w:rsid w:val="0056381D"/>
    <w:rsid w:val="005667A7"/>
    <w:rsid w:val="00566C95"/>
    <w:rsid w:val="00567245"/>
    <w:rsid w:val="0057154F"/>
    <w:rsid w:val="0057232C"/>
    <w:rsid w:val="00574925"/>
    <w:rsid w:val="0057635E"/>
    <w:rsid w:val="0058389F"/>
    <w:rsid w:val="005840A1"/>
    <w:rsid w:val="005849FC"/>
    <w:rsid w:val="00584EC5"/>
    <w:rsid w:val="00591931"/>
    <w:rsid w:val="00593E53"/>
    <w:rsid w:val="00594E3C"/>
    <w:rsid w:val="005A39B9"/>
    <w:rsid w:val="005A4BD9"/>
    <w:rsid w:val="005A4E13"/>
    <w:rsid w:val="005A53EB"/>
    <w:rsid w:val="005A7080"/>
    <w:rsid w:val="005A7308"/>
    <w:rsid w:val="005A7C2C"/>
    <w:rsid w:val="005B1178"/>
    <w:rsid w:val="005B1F36"/>
    <w:rsid w:val="005B4405"/>
    <w:rsid w:val="005B48E8"/>
    <w:rsid w:val="005B4A36"/>
    <w:rsid w:val="005B5F16"/>
    <w:rsid w:val="005B6213"/>
    <w:rsid w:val="005C0997"/>
    <w:rsid w:val="005C22A2"/>
    <w:rsid w:val="005C30E6"/>
    <w:rsid w:val="005C40AD"/>
    <w:rsid w:val="005D0123"/>
    <w:rsid w:val="005D07AA"/>
    <w:rsid w:val="005D73F4"/>
    <w:rsid w:val="005D7982"/>
    <w:rsid w:val="005E2461"/>
    <w:rsid w:val="005E27F4"/>
    <w:rsid w:val="005E3E73"/>
    <w:rsid w:val="005E4467"/>
    <w:rsid w:val="005E7238"/>
    <w:rsid w:val="005F27BE"/>
    <w:rsid w:val="005F4038"/>
    <w:rsid w:val="005F7B9D"/>
    <w:rsid w:val="0060062A"/>
    <w:rsid w:val="00600B8E"/>
    <w:rsid w:val="00604537"/>
    <w:rsid w:val="00605B6C"/>
    <w:rsid w:val="00607A72"/>
    <w:rsid w:val="006109E2"/>
    <w:rsid w:val="00614D33"/>
    <w:rsid w:val="00616BC2"/>
    <w:rsid w:val="00622A36"/>
    <w:rsid w:val="006246D6"/>
    <w:rsid w:val="00625CE1"/>
    <w:rsid w:val="00626987"/>
    <w:rsid w:val="00634DDD"/>
    <w:rsid w:val="006378EE"/>
    <w:rsid w:val="006426DE"/>
    <w:rsid w:val="00642832"/>
    <w:rsid w:val="0065239D"/>
    <w:rsid w:val="0065324F"/>
    <w:rsid w:val="006548A6"/>
    <w:rsid w:val="00656D0C"/>
    <w:rsid w:val="00660EB5"/>
    <w:rsid w:val="00661E85"/>
    <w:rsid w:val="00663E3A"/>
    <w:rsid w:val="00667748"/>
    <w:rsid w:val="006725DF"/>
    <w:rsid w:val="00672ED7"/>
    <w:rsid w:val="00673F3D"/>
    <w:rsid w:val="00675EA1"/>
    <w:rsid w:val="006854D9"/>
    <w:rsid w:val="006855A1"/>
    <w:rsid w:val="00686E10"/>
    <w:rsid w:val="00691551"/>
    <w:rsid w:val="0069155F"/>
    <w:rsid w:val="00694300"/>
    <w:rsid w:val="00696DD9"/>
    <w:rsid w:val="006B046D"/>
    <w:rsid w:val="006B06C5"/>
    <w:rsid w:val="006B11D2"/>
    <w:rsid w:val="006B1BF3"/>
    <w:rsid w:val="006C1A7B"/>
    <w:rsid w:val="006C2FFE"/>
    <w:rsid w:val="006C538A"/>
    <w:rsid w:val="006D47C7"/>
    <w:rsid w:val="006D5228"/>
    <w:rsid w:val="006D6AF5"/>
    <w:rsid w:val="006D7B62"/>
    <w:rsid w:val="006E0659"/>
    <w:rsid w:val="006E0FCB"/>
    <w:rsid w:val="006E37E2"/>
    <w:rsid w:val="006E3D6E"/>
    <w:rsid w:val="006E44B7"/>
    <w:rsid w:val="006E527A"/>
    <w:rsid w:val="006E52C9"/>
    <w:rsid w:val="006E6DD3"/>
    <w:rsid w:val="006F55CC"/>
    <w:rsid w:val="006F736B"/>
    <w:rsid w:val="00704730"/>
    <w:rsid w:val="00710927"/>
    <w:rsid w:val="00713A3E"/>
    <w:rsid w:val="00723C8D"/>
    <w:rsid w:val="00732966"/>
    <w:rsid w:val="00732B43"/>
    <w:rsid w:val="00733223"/>
    <w:rsid w:val="007360C9"/>
    <w:rsid w:val="00740732"/>
    <w:rsid w:val="00740BD7"/>
    <w:rsid w:val="0075485C"/>
    <w:rsid w:val="00754EE4"/>
    <w:rsid w:val="007554DA"/>
    <w:rsid w:val="00755530"/>
    <w:rsid w:val="00755806"/>
    <w:rsid w:val="007566A2"/>
    <w:rsid w:val="0075677A"/>
    <w:rsid w:val="007577A8"/>
    <w:rsid w:val="00760474"/>
    <w:rsid w:val="007611E3"/>
    <w:rsid w:val="0076260D"/>
    <w:rsid w:val="0076380D"/>
    <w:rsid w:val="00764A53"/>
    <w:rsid w:val="007758E3"/>
    <w:rsid w:val="00776022"/>
    <w:rsid w:val="0077644B"/>
    <w:rsid w:val="00776C08"/>
    <w:rsid w:val="007779FB"/>
    <w:rsid w:val="007813A3"/>
    <w:rsid w:val="007842CF"/>
    <w:rsid w:val="007857E2"/>
    <w:rsid w:val="00786B89"/>
    <w:rsid w:val="0079187B"/>
    <w:rsid w:val="00795EF3"/>
    <w:rsid w:val="00796EC7"/>
    <w:rsid w:val="007978A6"/>
    <w:rsid w:val="007A02E1"/>
    <w:rsid w:val="007A0BC1"/>
    <w:rsid w:val="007A32D9"/>
    <w:rsid w:val="007A5A3D"/>
    <w:rsid w:val="007B311E"/>
    <w:rsid w:val="007B5336"/>
    <w:rsid w:val="007B5852"/>
    <w:rsid w:val="007C3988"/>
    <w:rsid w:val="007D0B4B"/>
    <w:rsid w:val="007D13F7"/>
    <w:rsid w:val="007E0490"/>
    <w:rsid w:val="007E0895"/>
    <w:rsid w:val="007E1B0B"/>
    <w:rsid w:val="007E2F76"/>
    <w:rsid w:val="007E3AE5"/>
    <w:rsid w:val="007E402B"/>
    <w:rsid w:val="007F45AF"/>
    <w:rsid w:val="007F7D10"/>
    <w:rsid w:val="008006C2"/>
    <w:rsid w:val="00806E1A"/>
    <w:rsid w:val="00807BFD"/>
    <w:rsid w:val="00811DE5"/>
    <w:rsid w:val="00814246"/>
    <w:rsid w:val="00815C71"/>
    <w:rsid w:val="00816319"/>
    <w:rsid w:val="00820915"/>
    <w:rsid w:val="00821FF9"/>
    <w:rsid w:val="008233C3"/>
    <w:rsid w:val="00827CF1"/>
    <w:rsid w:val="0083034D"/>
    <w:rsid w:val="00831233"/>
    <w:rsid w:val="008344B5"/>
    <w:rsid w:val="00837926"/>
    <w:rsid w:val="008379CB"/>
    <w:rsid w:val="00840976"/>
    <w:rsid w:val="0085345B"/>
    <w:rsid w:val="00855108"/>
    <w:rsid w:val="00855318"/>
    <w:rsid w:val="00855C93"/>
    <w:rsid w:val="00855F5E"/>
    <w:rsid w:val="008562D6"/>
    <w:rsid w:val="008609D7"/>
    <w:rsid w:val="008625DD"/>
    <w:rsid w:val="00863CA6"/>
    <w:rsid w:val="00866E43"/>
    <w:rsid w:val="00874425"/>
    <w:rsid w:val="00874BE6"/>
    <w:rsid w:val="008771A4"/>
    <w:rsid w:val="00883A57"/>
    <w:rsid w:val="00883C6E"/>
    <w:rsid w:val="00883FFC"/>
    <w:rsid w:val="00884097"/>
    <w:rsid w:val="00884E6A"/>
    <w:rsid w:val="00886ECA"/>
    <w:rsid w:val="00887795"/>
    <w:rsid w:val="00887A36"/>
    <w:rsid w:val="008942EE"/>
    <w:rsid w:val="00896582"/>
    <w:rsid w:val="008977B8"/>
    <w:rsid w:val="008A0F95"/>
    <w:rsid w:val="008A31AC"/>
    <w:rsid w:val="008A50D5"/>
    <w:rsid w:val="008A5C67"/>
    <w:rsid w:val="008A75FB"/>
    <w:rsid w:val="008B13D2"/>
    <w:rsid w:val="008B4FFA"/>
    <w:rsid w:val="008B6DDC"/>
    <w:rsid w:val="008C21C4"/>
    <w:rsid w:val="008C26DF"/>
    <w:rsid w:val="008C382A"/>
    <w:rsid w:val="008C690F"/>
    <w:rsid w:val="008D305C"/>
    <w:rsid w:val="008D4E24"/>
    <w:rsid w:val="008D50F4"/>
    <w:rsid w:val="008D589F"/>
    <w:rsid w:val="008D7110"/>
    <w:rsid w:val="008E298E"/>
    <w:rsid w:val="008E4FEA"/>
    <w:rsid w:val="008E5B00"/>
    <w:rsid w:val="008E630C"/>
    <w:rsid w:val="008F0EF5"/>
    <w:rsid w:val="008F2920"/>
    <w:rsid w:val="008F7B0C"/>
    <w:rsid w:val="00902979"/>
    <w:rsid w:val="00904953"/>
    <w:rsid w:val="00906145"/>
    <w:rsid w:val="009105DE"/>
    <w:rsid w:val="00910925"/>
    <w:rsid w:val="00912DB6"/>
    <w:rsid w:val="00913B38"/>
    <w:rsid w:val="00913B79"/>
    <w:rsid w:val="009176C5"/>
    <w:rsid w:val="0092016B"/>
    <w:rsid w:val="0092029F"/>
    <w:rsid w:val="00920904"/>
    <w:rsid w:val="00921BB9"/>
    <w:rsid w:val="009220B2"/>
    <w:rsid w:val="00923471"/>
    <w:rsid w:val="009234D9"/>
    <w:rsid w:val="0092410F"/>
    <w:rsid w:val="00924E6C"/>
    <w:rsid w:val="00926224"/>
    <w:rsid w:val="00926CDB"/>
    <w:rsid w:val="0093080B"/>
    <w:rsid w:val="0093177A"/>
    <w:rsid w:val="00931C9B"/>
    <w:rsid w:val="009364FB"/>
    <w:rsid w:val="00936B97"/>
    <w:rsid w:val="0094007C"/>
    <w:rsid w:val="00943EF2"/>
    <w:rsid w:val="00950015"/>
    <w:rsid w:val="00954F5F"/>
    <w:rsid w:val="00960168"/>
    <w:rsid w:val="00961079"/>
    <w:rsid w:val="009617DB"/>
    <w:rsid w:val="00962272"/>
    <w:rsid w:val="009624D0"/>
    <w:rsid w:val="00962CD9"/>
    <w:rsid w:val="009640D1"/>
    <w:rsid w:val="009666BE"/>
    <w:rsid w:val="00975D84"/>
    <w:rsid w:val="009767A6"/>
    <w:rsid w:val="00976F26"/>
    <w:rsid w:val="00982FD4"/>
    <w:rsid w:val="00984DBB"/>
    <w:rsid w:val="00986040"/>
    <w:rsid w:val="009966BE"/>
    <w:rsid w:val="00996976"/>
    <w:rsid w:val="009A3C79"/>
    <w:rsid w:val="009A3CB1"/>
    <w:rsid w:val="009A4215"/>
    <w:rsid w:val="009A599B"/>
    <w:rsid w:val="009B2246"/>
    <w:rsid w:val="009B6CB0"/>
    <w:rsid w:val="009C0439"/>
    <w:rsid w:val="009C3596"/>
    <w:rsid w:val="009C376F"/>
    <w:rsid w:val="009D1873"/>
    <w:rsid w:val="009D1EF4"/>
    <w:rsid w:val="009D34F0"/>
    <w:rsid w:val="009D3BD0"/>
    <w:rsid w:val="009E25A8"/>
    <w:rsid w:val="009E7958"/>
    <w:rsid w:val="009F16C6"/>
    <w:rsid w:val="009F208A"/>
    <w:rsid w:val="00A023E6"/>
    <w:rsid w:val="00A029F6"/>
    <w:rsid w:val="00A02FCA"/>
    <w:rsid w:val="00A03D46"/>
    <w:rsid w:val="00A03EF1"/>
    <w:rsid w:val="00A076DD"/>
    <w:rsid w:val="00A133E0"/>
    <w:rsid w:val="00A14144"/>
    <w:rsid w:val="00A20117"/>
    <w:rsid w:val="00A20B53"/>
    <w:rsid w:val="00A2220F"/>
    <w:rsid w:val="00A232EF"/>
    <w:rsid w:val="00A2498D"/>
    <w:rsid w:val="00A25F1E"/>
    <w:rsid w:val="00A2602F"/>
    <w:rsid w:val="00A27D0D"/>
    <w:rsid w:val="00A31B40"/>
    <w:rsid w:val="00A3443B"/>
    <w:rsid w:val="00A34F2F"/>
    <w:rsid w:val="00A3613B"/>
    <w:rsid w:val="00A37F95"/>
    <w:rsid w:val="00A42487"/>
    <w:rsid w:val="00A50571"/>
    <w:rsid w:val="00A539B6"/>
    <w:rsid w:val="00A54499"/>
    <w:rsid w:val="00A561FA"/>
    <w:rsid w:val="00A57D5B"/>
    <w:rsid w:val="00A61C70"/>
    <w:rsid w:val="00A6293E"/>
    <w:rsid w:val="00A64B7B"/>
    <w:rsid w:val="00A65950"/>
    <w:rsid w:val="00A76F79"/>
    <w:rsid w:val="00A8051F"/>
    <w:rsid w:val="00A8217A"/>
    <w:rsid w:val="00A84380"/>
    <w:rsid w:val="00A87236"/>
    <w:rsid w:val="00A87EDF"/>
    <w:rsid w:val="00A91884"/>
    <w:rsid w:val="00A93882"/>
    <w:rsid w:val="00A95AD9"/>
    <w:rsid w:val="00A97EE3"/>
    <w:rsid w:val="00AA1B7E"/>
    <w:rsid w:val="00AA3043"/>
    <w:rsid w:val="00AA5F55"/>
    <w:rsid w:val="00AA5FC0"/>
    <w:rsid w:val="00AA67A5"/>
    <w:rsid w:val="00AA727A"/>
    <w:rsid w:val="00AB5588"/>
    <w:rsid w:val="00AC1199"/>
    <w:rsid w:val="00AC27FE"/>
    <w:rsid w:val="00AC51AC"/>
    <w:rsid w:val="00AC5242"/>
    <w:rsid w:val="00AC618C"/>
    <w:rsid w:val="00AD0187"/>
    <w:rsid w:val="00AD2B25"/>
    <w:rsid w:val="00AD2C46"/>
    <w:rsid w:val="00AD5AAE"/>
    <w:rsid w:val="00AE2018"/>
    <w:rsid w:val="00AE26F5"/>
    <w:rsid w:val="00AE3528"/>
    <w:rsid w:val="00AE4092"/>
    <w:rsid w:val="00AE4C3B"/>
    <w:rsid w:val="00AE55F9"/>
    <w:rsid w:val="00AE6BF3"/>
    <w:rsid w:val="00AE6DAF"/>
    <w:rsid w:val="00AE6ED2"/>
    <w:rsid w:val="00AF018E"/>
    <w:rsid w:val="00AF12A7"/>
    <w:rsid w:val="00AF23AF"/>
    <w:rsid w:val="00AF2F5E"/>
    <w:rsid w:val="00AF3070"/>
    <w:rsid w:val="00AF731F"/>
    <w:rsid w:val="00B00067"/>
    <w:rsid w:val="00B002F0"/>
    <w:rsid w:val="00B053DF"/>
    <w:rsid w:val="00B05797"/>
    <w:rsid w:val="00B063ED"/>
    <w:rsid w:val="00B07276"/>
    <w:rsid w:val="00B072A1"/>
    <w:rsid w:val="00B13832"/>
    <w:rsid w:val="00B159E7"/>
    <w:rsid w:val="00B15FF6"/>
    <w:rsid w:val="00B21D36"/>
    <w:rsid w:val="00B23FA5"/>
    <w:rsid w:val="00B24FCE"/>
    <w:rsid w:val="00B256AC"/>
    <w:rsid w:val="00B34D87"/>
    <w:rsid w:val="00B3544A"/>
    <w:rsid w:val="00B357FB"/>
    <w:rsid w:val="00B40A4D"/>
    <w:rsid w:val="00B42581"/>
    <w:rsid w:val="00B42D5B"/>
    <w:rsid w:val="00B44E6C"/>
    <w:rsid w:val="00B51321"/>
    <w:rsid w:val="00B515B8"/>
    <w:rsid w:val="00B5346F"/>
    <w:rsid w:val="00B5712D"/>
    <w:rsid w:val="00B57945"/>
    <w:rsid w:val="00B6132D"/>
    <w:rsid w:val="00B616A3"/>
    <w:rsid w:val="00B62630"/>
    <w:rsid w:val="00B63B5D"/>
    <w:rsid w:val="00B643AC"/>
    <w:rsid w:val="00B65304"/>
    <w:rsid w:val="00B65F49"/>
    <w:rsid w:val="00B7072C"/>
    <w:rsid w:val="00B72F8B"/>
    <w:rsid w:val="00B73F40"/>
    <w:rsid w:val="00B74F1F"/>
    <w:rsid w:val="00B76714"/>
    <w:rsid w:val="00B82B5A"/>
    <w:rsid w:val="00B82FE4"/>
    <w:rsid w:val="00B8453C"/>
    <w:rsid w:val="00B84A94"/>
    <w:rsid w:val="00B84E10"/>
    <w:rsid w:val="00B85A61"/>
    <w:rsid w:val="00B90830"/>
    <w:rsid w:val="00B93BDA"/>
    <w:rsid w:val="00B962FA"/>
    <w:rsid w:val="00BB0953"/>
    <w:rsid w:val="00BB1DC8"/>
    <w:rsid w:val="00BB23D2"/>
    <w:rsid w:val="00BB2B80"/>
    <w:rsid w:val="00BB4B1B"/>
    <w:rsid w:val="00BB4B9C"/>
    <w:rsid w:val="00BB50A8"/>
    <w:rsid w:val="00BC03AB"/>
    <w:rsid w:val="00BC2E83"/>
    <w:rsid w:val="00BC2EBB"/>
    <w:rsid w:val="00BC35F1"/>
    <w:rsid w:val="00BC402E"/>
    <w:rsid w:val="00BC485B"/>
    <w:rsid w:val="00BC55F9"/>
    <w:rsid w:val="00BD02B6"/>
    <w:rsid w:val="00BD04CF"/>
    <w:rsid w:val="00BD053B"/>
    <w:rsid w:val="00BD0F27"/>
    <w:rsid w:val="00BD1B4E"/>
    <w:rsid w:val="00BD25D3"/>
    <w:rsid w:val="00BD2C9D"/>
    <w:rsid w:val="00BD460A"/>
    <w:rsid w:val="00BE1869"/>
    <w:rsid w:val="00BE446F"/>
    <w:rsid w:val="00BE5515"/>
    <w:rsid w:val="00BE710E"/>
    <w:rsid w:val="00BF097B"/>
    <w:rsid w:val="00BF1A08"/>
    <w:rsid w:val="00BF2131"/>
    <w:rsid w:val="00BF2A77"/>
    <w:rsid w:val="00BF39DF"/>
    <w:rsid w:val="00BF6E79"/>
    <w:rsid w:val="00C0145F"/>
    <w:rsid w:val="00C02441"/>
    <w:rsid w:val="00C02C37"/>
    <w:rsid w:val="00C03187"/>
    <w:rsid w:val="00C03227"/>
    <w:rsid w:val="00C04887"/>
    <w:rsid w:val="00C079AB"/>
    <w:rsid w:val="00C1283F"/>
    <w:rsid w:val="00C1450C"/>
    <w:rsid w:val="00C1663C"/>
    <w:rsid w:val="00C2124F"/>
    <w:rsid w:val="00C213E4"/>
    <w:rsid w:val="00C27960"/>
    <w:rsid w:val="00C3504C"/>
    <w:rsid w:val="00C36A1A"/>
    <w:rsid w:val="00C431C1"/>
    <w:rsid w:val="00C458D3"/>
    <w:rsid w:val="00C50BB9"/>
    <w:rsid w:val="00C5189E"/>
    <w:rsid w:val="00C53AD4"/>
    <w:rsid w:val="00C6019F"/>
    <w:rsid w:val="00C6413A"/>
    <w:rsid w:val="00C64156"/>
    <w:rsid w:val="00C6445E"/>
    <w:rsid w:val="00C6608B"/>
    <w:rsid w:val="00C809A9"/>
    <w:rsid w:val="00C80A52"/>
    <w:rsid w:val="00C8130C"/>
    <w:rsid w:val="00C833B8"/>
    <w:rsid w:val="00C90299"/>
    <w:rsid w:val="00C950EF"/>
    <w:rsid w:val="00C95EC2"/>
    <w:rsid w:val="00C96BA5"/>
    <w:rsid w:val="00CA065F"/>
    <w:rsid w:val="00CA12FE"/>
    <w:rsid w:val="00CA228C"/>
    <w:rsid w:val="00CA25BC"/>
    <w:rsid w:val="00CA33F9"/>
    <w:rsid w:val="00CA3D4F"/>
    <w:rsid w:val="00CA6EDE"/>
    <w:rsid w:val="00CB13E5"/>
    <w:rsid w:val="00CB644C"/>
    <w:rsid w:val="00CC1597"/>
    <w:rsid w:val="00CC1C4B"/>
    <w:rsid w:val="00CC308B"/>
    <w:rsid w:val="00CC440D"/>
    <w:rsid w:val="00CC55E5"/>
    <w:rsid w:val="00CC78F0"/>
    <w:rsid w:val="00CD6033"/>
    <w:rsid w:val="00CD6D65"/>
    <w:rsid w:val="00CD738D"/>
    <w:rsid w:val="00CE07AE"/>
    <w:rsid w:val="00CE20E9"/>
    <w:rsid w:val="00CE28E9"/>
    <w:rsid w:val="00CE35B7"/>
    <w:rsid w:val="00CE49DE"/>
    <w:rsid w:val="00CE5A0D"/>
    <w:rsid w:val="00CF0F81"/>
    <w:rsid w:val="00CF274A"/>
    <w:rsid w:val="00CF2CC6"/>
    <w:rsid w:val="00CF310F"/>
    <w:rsid w:val="00CF6460"/>
    <w:rsid w:val="00D02C4A"/>
    <w:rsid w:val="00D0582D"/>
    <w:rsid w:val="00D06C19"/>
    <w:rsid w:val="00D071C5"/>
    <w:rsid w:val="00D10DA0"/>
    <w:rsid w:val="00D13306"/>
    <w:rsid w:val="00D14E36"/>
    <w:rsid w:val="00D21D4E"/>
    <w:rsid w:val="00D227E5"/>
    <w:rsid w:val="00D23EE7"/>
    <w:rsid w:val="00D26A82"/>
    <w:rsid w:val="00D26D4E"/>
    <w:rsid w:val="00D302CE"/>
    <w:rsid w:val="00D32E56"/>
    <w:rsid w:val="00D36F68"/>
    <w:rsid w:val="00D37C30"/>
    <w:rsid w:val="00D4148E"/>
    <w:rsid w:val="00D428DD"/>
    <w:rsid w:val="00D43A56"/>
    <w:rsid w:val="00D44831"/>
    <w:rsid w:val="00D462D7"/>
    <w:rsid w:val="00D4798A"/>
    <w:rsid w:val="00D508D6"/>
    <w:rsid w:val="00D521AE"/>
    <w:rsid w:val="00D52B70"/>
    <w:rsid w:val="00D55A75"/>
    <w:rsid w:val="00D5611A"/>
    <w:rsid w:val="00D606C4"/>
    <w:rsid w:val="00D60A46"/>
    <w:rsid w:val="00D62066"/>
    <w:rsid w:val="00D62597"/>
    <w:rsid w:val="00D62700"/>
    <w:rsid w:val="00D6292A"/>
    <w:rsid w:val="00D62B9A"/>
    <w:rsid w:val="00D64C66"/>
    <w:rsid w:val="00D7039E"/>
    <w:rsid w:val="00D71345"/>
    <w:rsid w:val="00D71BAF"/>
    <w:rsid w:val="00D71BB7"/>
    <w:rsid w:val="00D71FF3"/>
    <w:rsid w:val="00D725F6"/>
    <w:rsid w:val="00D73BB9"/>
    <w:rsid w:val="00D74037"/>
    <w:rsid w:val="00D74600"/>
    <w:rsid w:val="00D76455"/>
    <w:rsid w:val="00D76D11"/>
    <w:rsid w:val="00D81B14"/>
    <w:rsid w:val="00D84545"/>
    <w:rsid w:val="00D8508F"/>
    <w:rsid w:val="00D85E3E"/>
    <w:rsid w:val="00D865AC"/>
    <w:rsid w:val="00D87271"/>
    <w:rsid w:val="00D922EA"/>
    <w:rsid w:val="00D92EF5"/>
    <w:rsid w:val="00D945D1"/>
    <w:rsid w:val="00D94962"/>
    <w:rsid w:val="00D9759A"/>
    <w:rsid w:val="00DA0C06"/>
    <w:rsid w:val="00DA2CFD"/>
    <w:rsid w:val="00DA5BA5"/>
    <w:rsid w:val="00DA6434"/>
    <w:rsid w:val="00DA691A"/>
    <w:rsid w:val="00DA6C47"/>
    <w:rsid w:val="00DB11B7"/>
    <w:rsid w:val="00DB1BD1"/>
    <w:rsid w:val="00DB463E"/>
    <w:rsid w:val="00DB5338"/>
    <w:rsid w:val="00DB6547"/>
    <w:rsid w:val="00DC45D4"/>
    <w:rsid w:val="00DC5C23"/>
    <w:rsid w:val="00DC7546"/>
    <w:rsid w:val="00DD164D"/>
    <w:rsid w:val="00DD1888"/>
    <w:rsid w:val="00DD432E"/>
    <w:rsid w:val="00DD4576"/>
    <w:rsid w:val="00DE01EE"/>
    <w:rsid w:val="00DE3997"/>
    <w:rsid w:val="00DE3BD5"/>
    <w:rsid w:val="00DE4C62"/>
    <w:rsid w:val="00DE5BBF"/>
    <w:rsid w:val="00DF3FB2"/>
    <w:rsid w:val="00DF43D8"/>
    <w:rsid w:val="00DF518A"/>
    <w:rsid w:val="00E01EE3"/>
    <w:rsid w:val="00E03721"/>
    <w:rsid w:val="00E03C7D"/>
    <w:rsid w:val="00E0717B"/>
    <w:rsid w:val="00E11895"/>
    <w:rsid w:val="00E12AB7"/>
    <w:rsid w:val="00E15952"/>
    <w:rsid w:val="00E176A6"/>
    <w:rsid w:val="00E2232F"/>
    <w:rsid w:val="00E22A6B"/>
    <w:rsid w:val="00E23276"/>
    <w:rsid w:val="00E23B20"/>
    <w:rsid w:val="00E2438A"/>
    <w:rsid w:val="00E2521A"/>
    <w:rsid w:val="00E30D9B"/>
    <w:rsid w:val="00E339CF"/>
    <w:rsid w:val="00E33DE8"/>
    <w:rsid w:val="00E356C3"/>
    <w:rsid w:val="00E35784"/>
    <w:rsid w:val="00E415B7"/>
    <w:rsid w:val="00E44C80"/>
    <w:rsid w:val="00E50F63"/>
    <w:rsid w:val="00E517B1"/>
    <w:rsid w:val="00E5229D"/>
    <w:rsid w:val="00E523AE"/>
    <w:rsid w:val="00E6171E"/>
    <w:rsid w:val="00E6256D"/>
    <w:rsid w:val="00E67628"/>
    <w:rsid w:val="00E75812"/>
    <w:rsid w:val="00E76920"/>
    <w:rsid w:val="00E777B5"/>
    <w:rsid w:val="00E84585"/>
    <w:rsid w:val="00E8589C"/>
    <w:rsid w:val="00E95C6A"/>
    <w:rsid w:val="00E97CFC"/>
    <w:rsid w:val="00EA0C2D"/>
    <w:rsid w:val="00EA41FE"/>
    <w:rsid w:val="00EA422D"/>
    <w:rsid w:val="00EA6E86"/>
    <w:rsid w:val="00EB188A"/>
    <w:rsid w:val="00EB51AF"/>
    <w:rsid w:val="00EB6235"/>
    <w:rsid w:val="00EB6523"/>
    <w:rsid w:val="00EB733F"/>
    <w:rsid w:val="00EB759F"/>
    <w:rsid w:val="00EC002A"/>
    <w:rsid w:val="00EC2C6A"/>
    <w:rsid w:val="00EC4DC7"/>
    <w:rsid w:val="00ED10FE"/>
    <w:rsid w:val="00ED2BEB"/>
    <w:rsid w:val="00ED649C"/>
    <w:rsid w:val="00ED739A"/>
    <w:rsid w:val="00EE0BEF"/>
    <w:rsid w:val="00EE47DF"/>
    <w:rsid w:val="00EF02B7"/>
    <w:rsid w:val="00EF0E80"/>
    <w:rsid w:val="00EF2033"/>
    <w:rsid w:val="00EF22FD"/>
    <w:rsid w:val="00EF2B26"/>
    <w:rsid w:val="00EF33BD"/>
    <w:rsid w:val="00EF476A"/>
    <w:rsid w:val="00EF53A6"/>
    <w:rsid w:val="00F049A0"/>
    <w:rsid w:val="00F100F9"/>
    <w:rsid w:val="00F114DA"/>
    <w:rsid w:val="00F145F7"/>
    <w:rsid w:val="00F14950"/>
    <w:rsid w:val="00F14E6B"/>
    <w:rsid w:val="00F17451"/>
    <w:rsid w:val="00F17505"/>
    <w:rsid w:val="00F20007"/>
    <w:rsid w:val="00F20D11"/>
    <w:rsid w:val="00F24237"/>
    <w:rsid w:val="00F24BA9"/>
    <w:rsid w:val="00F255D8"/>
    <w:rsid w:val="00F30A27"/>
    <w:rsid w:val="00F30ABF"/>
    <w:rsid w:val="00F34752"/>
    <w:rsid w:val="00F407A7"/>
    <w:rsid w:val="00F44BE8"/>
    <w:rsid w:val="00F4680D"/>
    <w:rsid w:val="00F471E1"/>
    <w:rsid w:val="00F47DDE"/>
    <w:rsid w:val="00F51F53"/>
    <w:rsid w:val="00F61821"/>
    <w:rsid w:val="00F64893"/>
    <w:rsid w:val="00F651D8"/>
    <w:rsid w:val="00F653DE"/>
    <w:rsid w:val="00F7321A"/>
    <w:rsid w:val="00F73A54"/>
    <w:rsid w:val="00F763E0"/>
    <w:rsid w:val="00F811EC"/>
    <w:rsid w:val="00F83B4B"/>
    <w:rsid w:val="00F843FC"/>
    <w:rsid w:val="00F85231"/>
    <w:rsid w:val="00F91CC1"/>
    <w:rsid w:val="00F937BD"/>
    <w:rsid w:val="00F94F7B"/>
    <w:rsid w:val="00FA7D65"/>
    <w:rsid w:val="00FB18DC"/>
    <w:rsid w:val="00FB19E8"/>
    <w:rsid w:val="00FB364F"/>
    <w:rsid w:val="00FB3EE6"/>
    <w:rsid w:val="00FB49E1"/>
    <w:rsid w:val="00FB510A"/>
    <w:rsid w:val="00FC11F3"/>
    <w:rsid w:val="00FC6766"/>
    <w:rsid w:val="00FC780E"/>
    <w:rsid w:val="00FD052F"/>
    <w:rsid w:val="00FD180C"/>
    <w:rsid w:val="00FD31CE"/>
    <w:rsid w:val="00FD3488"/>
    <w:rsid w:val="00FD57F2"/>
    <w:rsid w:val="00FD702F"/>
    <w:rsid w:val="00FE0A3E"/>
    <w:rsid w:val="00FE0CE7"/>
    <w:rsid w:val="00FE1AB4"/>
    <w:rsid w:val="00FE5D95"/>
    <w:rsid w:val="00FF0528"/>
    <w:rsid w:val="00FF435B"/>
    <w:rsid w:val="00FF61E5"/>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8E4"/>
  <w15:chartTrackingRefBased/>
  <w15:docId w15:val="{71B82D9D-F03C-4BEB-95C3-538B8F4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paragraph" w:styleId="Heading4">
    <w:name w:val="heading 4"/>
    <w:basedOn w:val="Normal"/>
    <w:next w:val="Normal"/>
    <w:link w:val="Heading4Char"/>
    <w:uiPriority w:val="9"/>
    <w:semiHidden/>
    <w:unhideWhenUsed/>
    <w:qFormat/>
    <w:rsid w:val="0066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uiPriority w:val="99"/>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uiPriority w:val="99"/>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 w:type="character" w:customStyle="1" w:styleId="Heading4Char">
    <w:name w:val="Heading 4 Char"/>
    <w:basedOn w:val="DefaultParagraphFont"/>
    <w:link w:val="Heading4"/>
    <w:uiPriority w:val="9"/>
    <w:semiHidden/>
    <w:rsid w:val="00667748"/>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33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ỦY BAN NHÂN DÂN</vt:lpstr>
    </vt:vector>
  </TitlesOfParts>
  <Company>Admin</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tran</dc:creator>
  <cp:keywords/>
  <cp:lastModifiedBy>Admin</cp:lastModifiedBy>
  <cp:revision>27</cp:revision>
  <cp:lastPrinted>2025-12-09T07:13:00Z</cp:lastPrinted>
  <dcterms:created xsi:type="dcterms:W3CDTF">2026-04-05T14:35:00Z</dcterms:created>
  <dcterms:modified xsi:type="dcterms:W3CDTF">2026-04-10T10:02:00Z</dcterms:modified>
</cp:coreProperties>
</file>