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1" w:type="dxa"/>
        <w:tblCellMar>
          <w:left w:w="0" w:type="dxa"/>
          <w:right w:w="0" w:type="dxa"/>
        </w:tblCellMar>
        <w:tblLook w:val="04A0" w:firstRow="1" w:lastRow="0" w:firstColumn="1" w:lastColumn="0" w:noHBand="0" w:noVBand="1"/>
      </w:tblPr>
      <w:tblGrid>
        <w:gridCol w:w="3313"/>
        <w:gridCol w:w="6038"/>
      </w:tblGrid>
      <w:tr w:rsidR="00BB1AD7" w:rsidTr="009C2A21">
        <w:tc>
          <w:tcPr>
            <w:tcW w:w="3313" w:type="dxa"/>
            <w:shd w:val="clear" w:color="auto" w:fill="auto"/>
            <w:tcMar>
              <w:top w:w="0" w:type="dxa"/>
              <w:left w:w="108" w:type="dxa"/>
              <w:bottom w:w="0" w:type="dxa"/>
              <w:right w:w="108" w:type="dxa"/>
            </w:tcMar>
          </w:tcPr>
          <w:p w:rsidR="00DA5812" w:rsidRDefault="00BB1AD7" w:rsidP="00DA5812">
            <w:pPr>
              <w:jc w:val="center"/>
              <w:rPr>
                <w:b/>
                <w:bCs/>
                <w:sz w:val="26"/>
                <w:szCs w:val="26"/>
                <w:lang w:val="vi-VN"/>
              </w:rPr>
            </w:pPr>
            <w:bookmarkStart w:id="0" w:name="bookmark0"/>
            <w:r w:rsidRPr="00AF29EA">
              <w:rPr>
                <w:b/>
                <w:bCs/>
                <w:sz w:val="26"/>
                <w:szCs w:val="26"/>
                <w:lang w:val="vi-VN"/>
              </w:rPr>
              <w:t>ỦY BAN NHÂN DÂN</w:t>
            </w:r>
            <w:r w:rsidRPr="00AF29EA">
              <w:rPr>
                <w:b/>
                <w:bCs/>
                <w:sz w:val="26"/>
                <w:szCs w:val="26"/>
                <w:lang w:val="vi-VN"/>
              </w:rPr>
              <w:br/>
              <w:t xml:space="preserve">TỈNH </w:t>
            </w:r>
            <w:bookmarkEnd w:id="0"/>
            <w:r w:rsidR="00A750B8">
              <w:rPr>
                <w:b/>
                <w:bCs/>
                <w:sz w:val="26"/>
                <w:szCs w:val="26"/>
              </w:rPr>
              <w:t>AN GIANG</w:t>
            </w:r>
          </w:p>
          <w:p w:rsidR="00BB1AD7" w:rsidRPr="00AF29EA" w:rsidRDefault="00DA5812" w:rsidP="00DA5812">
            <w:pPr>
              <w:spacing w:before="120" w:after="120"/>
              <w:jc w:val="center"/>
              <w:rPr>
                <w:sz w:val="26"/>
                <w:szCs w:val="26"/>
              </w:rPr>
            </w:pPr>
            <w:r w:rsidRPr="00AF29EA">
              <w:rPr>
                <w:b/>
                <w:bCs/>
                <w:noProof/>
                <w:sz w:val="26"/>
                <w:szCs w:val="26"/>
              </w:rPr>
              <mc:AlternateContent>
                <mc:Choice Requires="wps">
                  <w:drawing>
                    <wp:anchor distT="0" distB="0" distL="114300" distR="114300" simplePos="0" relativeHeight="251656192" behindDoc="0" locked="0" layoutInCell="1" allowOverlap="1" wp14:anchorId="7E74A053" wp14:editId="5B379021">
                      <wp:simplePos x="0" y="0"/>
                      <wp:positionH relativeFrom="column">
                        <wp:posOffset>600710</wp:posOffset>
                      </wp:positionH>
                      <wp:positionV relativeFrom="paragraph">
                        <wp:posOffset>6350</wp:posOffset>
                      </wp:positionV>
                      <wp:extent cx="78105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DC7709" id="_x0000_t32" coordsize="21600,21600" o:spt="32" o:oned="t" path="m,l21600,21600e" filled="f">
                      <v:path arrowok="t" fillok="f" o:connecttype="none"/>
                      <o:lock v:ext="edit" shapetype="t"/>
                    </v:shapetype>
                    <v:shape id="AutoShape 2" o:spid="_x0000_s1026" type="#_x0000_t32" style="position:absolute;margin-left:47.3pt;margin-top:.5pt;width:6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BW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"/>
                  </w:pict>
                </mc:Fallback>
              </mc:AlternateContent>
            </w:r>
            <w:r w:rsidRPr="001E78A6">
              <w:rPr>
                <w:sz w:val="26"/>
                <w:szCs w:val="26"/>
                <w:lang w:val="vi-VN"/>
              </w:rPr>
              <w:t xml:space="preserve">Số: </w:t>
            </w:r>
            <w:r>
              <w:rPr>
                <w:sz w:val="26"/>
                <w:szCs w:val="26"/>
              </w:rPr>
              <w:t xml:space="preserve">   </w:t>
            </w:r>
            <w:r w:rsidR="00AA03FC">
              <w:rPr>
                <w:sz w:val="26"/>
                <w:szCs w:val="26"/>
              </w:rPr>
              <w:t xml:space="preserve">  </w:t>
            </w:r>
            <w:r>
              <w:rPr>
                <w:sz w:val="26"/>
                <w:szCs w:val="26"/>
              </w:rPr>
              <w:t xml:space="preserve"> </w:t>
            </w:r>
            <w:r w:rsidRPr="001E78A6">
              <w:rPr>
                <w:sz w:val="26"/>
                <w:szCs w:val="26"/>
              </w:rPr>
              <w:t>/20</w:t>
            </w:r>
            <w:r>
              <w:rPr>
                <w:sz w:val="26"/>
                <w:szCs w:val="26"/>
              </w:rPr>
              <w:t>26</w:t>
            </w:r>
            <w:r w:rsidRPr="001E78A6">
              <w:rPr>
                <w:sz w:val="26"/>
                <w:szCs w:val="26"/>
                <w:lang w:val="vi-VN"/>
              </w:rPr>
              <w:t>/QĐ-UBND</w:t>
            </w:r>
          </w:p>
        </w:tc>
        <w:tc>
          <w:tcPr>
            <w:tcW w:w="6038" w:type="dxa"/>
            <w:shd w:val="clear" w:color="auto" w:fill="auto"/>
            <w:tcMar>
              <w:top w:w="0" w:type="dxa"/>
              <w:left w:w="108" w:type="dxa"/>
              <w:bottom w:w="0" w:type="dxa"/>
              <w:right w:w="108" w:type="dxa"/>
            </w:tcMar>
          </w:tcPr>
          <w:p w:rsidR="00DA5812" w:rsidRPr="00DA5812" w:rsidRDefault="00BB1AD7" w:rsidP="00482628">
            <w:pPr>
              <w:jc w:val="center"/>
              <w:rPr>
                <w:b/>
                <w:bCs/>
                <w:sz w:val="28"/>
                <w:szCs w:val="28"/>
                <w:lang w:val="vi-VN"/>
              </w:rPr>
            </w:pPr>
            <w:r w:rsidRPr="00AF29EA">
              <w:rPr>
                <w:b/>
                <w:bCs/>
                <w:sz w:val="26"/>
                <w:szCs w:val="26"/>
                <w:lang w:val="vi-VN"/>
              </w:rPr>
              <w:t xml:space="preserve">CỘNG HÒA XÃ </w:t>
            </w:r>
            <w:r w:rsidRPr="00DA5812">
              <w:rPr>
                <w:b/>
                <w:bCs/>
                <w:sz w:val="28"/>
                <w:szCs w:val="28"/>
                <w:lang w:val="vi-VN"/>
              </w:rPr>
              <w:t>HỘI CHỦ NGHĨA VIỆT NAM</w:t>
            </w:r>
            <w:r w:rsidRPr="00DA5812">
              <w:rPr>
                <w:b/>
                <w:bCs/>
                <w:sz w:val="28"/>
                <w:szCs w:val="28"/>
                <w:lang w:val="vi-VN"/>
              </w:rPr>
              <w:br/>
              <w:t>Độc lập - Tự do - Hạnh phúc</w:t>
            </w:r>
          </w:p>
          <w:p w:rsidR="00BB1AD7" w:rsidRDefault="00DA5812" w:rsidP="00AA03FC">
            <w:pPr>
              <w:spacing w:before="120" w:after="120"/>
              <w:jc w:val="center"/>
            </w:pPr>
            <w:r>
              <w:rPr>
                <w:b/>
                <w:bCs/>
                <w:noProof/>
                <w:sz w:val="26"/>
                <w:szCs w:val="26"/>
              </w:rPr>
              <mc:AlternateContent>
                <mc:Choice Requires="wps">
                  <w:drawing>
                    <wp:anchor distT="0" distB="0" distL="114300" distR="114300" simplePos="0" relativeHeight="251659264" behindDoc="0" locked="0" layoutInCell="1" allowOverlap="1" wp14:anchorId="4D19AA5F" wp14:editId="6CA9D6DA">
                      <wp:simplePos x="0" y="0"/>
                      <wp:positionH relativeFrom="column">
                        <wp:posOffset>741680</wp:posOffset>
                      </wp:positionH>
                      <wp:positionV relativeFrom="paragraph">
                        <wp:posOffset>30480</wp:posOffset>
                      </wp:positionV>
                      <wp:extent cx="2171700" cy="0"/>
                      <wp:effectExtent l="0" t="0" r="19050" b="190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CD01C" id="AutoShape 20" o:spid="_x0000_s1026" type="#_x0000_t32" style="position:absolute;margin-left:58.4pt;margin-top:2.4pt;width:1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GxHw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"/>
                  </w:pict>
                </mc:Fallback>
              </mc:AlternateContent>
            </w:r>
            <w:r w:rsidRPr="00DA5812">
              <w:rPr>
                <w:i/>
                <w:iCs/>
                <w:sz w:val="28"/>
                <w:szCs w:val="28"/>
              </w:rPr>
              <w:t>An Giang</w:t>
            </w:r>
            <w:r w:rsidRPr="00DA5812">
              <w:rPr>
                <w:i/>
                <w:iCs/>
                <w:sz w:val="28"/>
                <w:szCs w:val="28"/>
                <w:lang w:val="vi-VN"/>
              </w:rPr>
              <w:t xml:space="preserve">, ngày </w:t>
            </w:r>
            <w:r w:rsidRPr="00DA5812">
              <w:rPr>
                <w:i/>
                <w:iCs/>
                <w:sz w:val="28"/>
                <w:szCs w:val="28"/>
              </w:rPr>
              <w:t xml:space="preserve">  </w:t>
            </w:r>
            <w:r w:rsidR="00AA03FC">
              <w:rPr>
                <w:i/>
                <w:iCs/>
                <w:sz w:val="28"/>
                <w:szCs w:val="28"/>
              </w:rPr>
              <w:t xml:space="preserve"> </w:t>
            </w:r>
            <w:r w:rsidRPr="00DA5812">
              <w:rPr>
                <w:i/>
                <w:iCs/>
                <w:sz w:val="28"/>
                <w:szCs w:val="28"/>
                <w:lang w:val="vi-VN"/>
              </w:rPr>
              <w:t xml:space="preserve">tháng </w:t>
            </w:r>
            <w:r w:rsidRPr="00DA5812">
              <w:rPr>
                <w:i/>
                <w:iCs/>
                <w:sz w:val="28"/>
                <w:szCs w:val="28"/>
                <w:lang w:val="fr-FR"/>
              </w:rPr>
              <w:t xml:space="preserve">  </w:t>
            </w:r>
            <w:r w:rsidRPr="00DA5812">
              <w:rPr>
                <w:i/>
                <w:iCs/>
                <w:sz w:val="28"/>
                <w:szCs w:val="28"/>
                <w:lang w:val="vi-VN"/>
              </w:rPr>
              <w:t>năm</w:t>
            </w:r>
            <w:r w:rsidRPr="00DA5812">
              <w:rPr>
                <w:i/>
                <w:iCs/>
                <w:sz w:val="28"/>
                <w:szCs w:val="28"/>
                <w:lang w:val="fr-FR"/>
              </w:rPr>
              <w:t xml:space="preserve"> 2026</w:t>
            </w:r>
          </w:p>
        </w:tc>
      </w:tr>
    </w:tbl>
    <w:p w:rsidR="00BB1AD7" w:rsidRDefault="00777E9F" w:rsidP="007E319E">
      <w:pPr>
        <w:spacing w:before="120"/>
      </w:pPr>
      <w:r>
        <w:rPr>
          <w:noProof/>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36195</wp:posOffset>
                </wp:positionV>
                <wp:extent cx="1066800" cy="295275"/>
                <wp:effectExtent l="0" t="0" r="19050"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5275"/>
                        </a:xfrm>
                        <a:prstGeom prst="rect">
                          <a:avLst/>
                        </a:prstGeom>
                        <a:solidFill>
                          <a:srgbClr val="FFFFFF"/>
                        </a:solidFill>
                        <a:ln w="9525">
                          <a:solidFill>
                            <a:srgbClr val="000000"/>
                          </a:solidFill>
                          <a:miter lim="800000"/>
                          <a:headEnd/>
                          <a:tailEnd/>
                        </a:ln>
                      </wps:spPr>
                      <wps:txbx>
                        <w:txbxContent>
                          <w:p w:rsidR="002F711C" w:rsidRPr="000D1B75" w:rsidRDefault="002F711C" w:rsidP="002F711C">
                            <w:pPr>
                              <w:jc w:val="center"/>
                              <w:rPr>
                                <w:b/>
                              </w:rPr>
                            </w:pPr>
                            <w:r w:rsidRPr="000D1B75">
                              <w:rPr>
                                <w:b/>
                                <w:sz w:val="26"/>
                                <w:szCs w:val="26"/>
                              </w:rPr>
                              <w:t xml:space="preserve">DỰ </w:t>
                            </w:r>
                            <w:r w:rsidRPr="000D1B75">
                              <w:rPr>
                                <w:b/>
                              </w:rPr>
                              <w:t>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2.85pt;width:84pt;height:23.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">
                <v:textbox>
                  <w:txbxContent>
                    <w:p w:rsidR="002F711C" w:rsidRPr="000D1B75" w:rsidRDefault="002F711C" w:rsidP="002F711C">
                      <w:pPr>
                        <w:jc w:val="center"/>
                        <w:rPr>
                          <w:b/>
                        </w:rPr>
                      </w:pPr>
                      <w:r w:rsidRPr="000D1B75">
                        <w:rPr>
                          <w:b/>
                          <w:sz w:val="26"/>
                          <w:szCs w:val="26"/>
                        </w:rPr>
                        <w:t xml:space="preserve">DỰ </w:t>
                      </w:r>
                      <w:r w:rsidRPr="000D1B75">
                        <w:rPr>
                          <w:b/>
                        </w:rPr>
                        <w:t>THẢO</w:t>
                      </w:r>
                    </w:p>
                  </w:txbxContent>
                </v:textbox>
                <w10:wrap anchorx="margin"/>
              </v:shape>
            </w:pict>
          </mc:Fallback>
        </mc:AlternateContent>
      </w:r>
      <w:r w:rsidR="00BB1AD7">
        <w:t> </w:t>
      </w:r>
    </w:p>
    <w:p w:rsidR="00BB1AD7" w:rsidRPr="001E78A6" w:rsidRDefault="00BB1AD7" w:rsidP="00AA03FC">
      <w:pPr>
        <w:jc w:val="center"/>
        <w:rPr>
          <w:sz w:val="28"/>
          <w:szCs w:val="28"/>
        </w:rPr>
      </w:pPr>
      <w:r w:rsidRPr="001E78A6">
        <w:rPr>
          <w:b/>
          <w:bCs/>
          <w:sz w:val="28"/>
          <w:szCs w:val="28"/>
          <w:lang w:val="vi-VN"/>
        </w:rPr>
        <w:t>QUYẾT ĐỊNH</w:t>
      </w:r>
    </w:p>
    <w:p w:rsidR="00AA03FC" w:rsidRDefault="0017146B" w:rsidP="00AA03FC">
      <w:pPr>
        <w:ind w:right="-285"/>
        <w:jc w:val="center"/>
        <w:rPr>
          <w:b/>
          <w:spacing w:val="2"/>
          <w:sz w:val="28"/>
          <w:szCs w:val="28"/>
        </w:rPr>
      </w:pPr>
      <w:r>
        <w:rPr>
          <w:b/>
          <w:spacing w:val="2"/>
          <w:sz w:val="28"/>
          <w:szCs w:val="28"/>
        </w:rPr>
        <w:t xml:space="preserve">Quy định mức tỷ lệ phần trăm (%) cụ thể để xác định đơn giá thuê đất; </w:t>
      </w:r>
    </w:p>
    <w:p w:rsidR="007849C2" w:rsidRPr="007849C2" w:rsidRDefault="0017146B" w:rsidP="00AA03FC">
      <w:pPr>
        <w:ind w:right="-285"/>
        <w:jc w:val="center"/>
        <w:rPr>
          <w:b/>
          <w:color w:val="000000"/>
          <w:sz w:val="28"/>
          <w:szCs w:val="28"/>
          <w:shd w:val="clear" w:color="auto" w:fill="FFFFFF"/>
        </w:rPr>
      </w:pPr>
      <w:r>
        <w:rPr>
          <w:b/>
          <w:spacing w:val="2"/>
          <w:sz w:val="28"/>
          <w:szCs w:val="28"/>
        </w:rPr>
        <w:t>mức tỷ lệ phần trăm (%) để tính tiền thuê đất đối với đất xây dựng công trình ngầm, công trình ngầm nằm ngoài phần không gian sử dụng đất đã xác định cho người sử dụng đất, đất có mặt nước trên địa bàn tỉnh An Giang</w:t>
      </w:r>
    </w:p>
    <w:p w:rsidR="008C3B89" w:rsidRDefault="00071710" w:rsidP="008C3B89">
      <w:pPr>
        <w:jc w:val="center"/>
        <w:rPr>
          <w:b/>
          <w:bCs/>
          <w:sz w:val="28"/>
          <w:szCs w:val="28"/>
        </w:rPr>
      </w:pPr>
      <w:r w:rsidRPr="009A1F89">
        <w:rPr>
          <w:b/>
          <w:bCs/>
          <w:noProof/>
          <w:color w:val="FF0000"/>
          <w:sz w:val="28"/>
          <w:szCs w:val="28"/>
        </w:rPr>
        <mc:AlternateContent>
          <mc:Choice Requires="wps">
            <w:drawing>
              <wp:anchor distT="0" distB="0" distL="114300" distR="114300" simplePos="0" relativeHeight="251658240" behindDoc="0" locked="0" layoutInCell="1" allowOverlap="1" wp14:anchorId="756F4492" wp14:editId="48A69730">
                <wp:simplePos x="0" y="0"/>
                <wp:positionH relativeFrom="margin">
                  <wp:align>center</wp:align>
                </wp:positionH>
                <wp:positionV relativeFrom="paragraph">
                  <wp:posOffset>24765</wp:posOffset>
                </wp:positionV>
                <wp:extent cx="885825" cy="0"/>
                <wp:effectExtent l="0" t="0" r="2857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4153F" id="_x0000_t32" coordsize="21600,21600" o:spt="32" o:oned="t" path="m,l21600,21600e" filled="f">
                <v:path arrowok="t" fillok="f" o:connecttype="none"/>
                <o:lock v:ext="edit" shapetype="t"/>
              </v:shapetype>
              <v:shape id="AutoShape 8" o:spid="_x0000_s1026" type="#_x0000_t32" style="position:absolute;margin-left:0;margin-top:1.95pt;width:69.75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">
                <w10:wrap anchorx="margin"/>
              </v:shape>
            </w:pict>
          </mc:Fallback>
        </mc:AlternateContent>
      </w:r>
    </w:p>
    <w:p w:rsidR="00486FFB" w:rsidRPr="00486FFB" w:rsidRDefault="00486FFB" w:rsidP="009A1F89">
      <w:pPr>
        <w:spacing w:after="120"/>
        <w:ind w:firstLine="567"/>
        <w:jc w:val="both"/>
        <w:rPr>
          <w:i/>
          <w:iCs/>
          <w:sz w:val="28"/>
          <w:szCs w:val="28"/>
        </w:rPr>
      </w:pPr>
      <w:bookmarkStart w:id="1" w:name="loai_1_name"/>
      <w:r w:rsidRPr="00486FFB">
        <w:rPr>
          <w:i/>
          <w:iCs/>
          <w:sz w:val="28"/>
          <w:szCs w:val="28"/>
        </w:rPr>
        <w:t>Căn cứ Luật Tổ chức chính quyền địa phương số 72/2025/QH15;</w:t>
      </w:r>
    </w:p>
    <w:p w:rsidR="00486FFB" w:rsidRPr="00486FFB" w:rsidRDefault="00486FFB" w:rsidP="009A1F89">
      <w:pPr>
        <w:spacing w:after="120"/>
        <w:ind w:firstLine="567"/>
        <w:jc w:val="both"/>
        <w:rPr>
          <w:i/>
          <w:iCs/>
          <w:sz w:val="28"/>
          <w:szCs w:val="28"/>
        </w:rPr>
      </w:pPr>
      <w:r w:rsidRPr="00486FFB">
        <w:rPr>
          <w:i/>
          <w:iCs/>
          <w:sz w:val="28"/>
          <w:szCs w:val="28"/>
        </w:rPr>
        <w:t>Căn cứ Luật Ban hành văn bản quy phạm pháp luật số 64/2025/QH15 được sửa đổi, bổ sung bởi Luật số 87/2025/QH15;</w:t>
      </w:r>
    </w:p>
    <w:bookmarkEnd w:id="1"/>
    <w:p w:rsidR="0082021E" w:rsidRPr="0082021E" w:rsidRDefault="0082021E" w:rsidP="0082021E">
      <w:pPr>
        <w:spacing w:after="120"/>
        <w:ind w:firstLine="567"/>
        <w:jc w:val="both"/>
        <w:rPr>
          <w:i/>
          <w:sz w:val="28"/>
          <w:szCs w:val="28"/>
        </w:rPr>
      </w:pPr>
      <w:r w:rsidRPr="0082021E">
        <w:rPr>
          <w:i/>
          <w:sz w:val="28"/>
          <w:szCs w:val="28"/>
        </w:rPr>
        <w:t>Căn cứ Luật Đất đai ngày 18 tháng 01 năm 2024;</w:t>
      </w:r>
    </w:p>
    <w:p w:rsidR="0082021E" w:rsidRPr="0082021E" w:rsidRDefault="0082021E" w:rsidP="0082021E">
      <w:pPr>
        <w:spacing w:after="120"/>
        <w:ind w:firstLine="567"/>
        <w:jc w:val="both"/>
        <w:rPr>
          <w:i/>
          <w:sz w:val="28"/>
          <w:szCs w:val="28"/>
        </w:rPr>
      </w:pPr>
      <w:r w:rsidRPr="0082021E">
        <w:rPr>
          <w:i/>
          <w:sz w:val="28"/>
          <w:szCs w:val="28"/>
        </w:rPr>
        <w:t>Căn cứ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w:t>
      </w:r>
    </w:p>
    <w:p w:rsidR="0082021E" w:rsidRPr="0082021E" w:rsidRDefault="0082021E" w:rsidP="0082021E">
      <w:pPr>
        <w:spacing w:after="120"/>
        <w:ind w:firstLine="567"/>
        <w:jc w:val="both"/>
        <w:rPr>
          <w:i/>
          <w:sz w:val="28"/>
          <w:szCs w:val="28"/>
        </w:rPr>
      </w:pPr>
      <w:r w:rsidRPr="0082021E">
        <w:rPr>
          <w:i/>
          <w:sz w:val="28"/>
          <w:szCs w:val="28"/>
        </w:rPr>
        <w:t xml:space="preserve">Căn cứ Nghị quyết số 76/2025/UBTVQH15 ngày 14 tháng 4 năm 2025 Ủy ban Thường vụ Quốc hội về việc sắp xếp đơn vị hành chính năm 2025; </w:t>
      </w:r>
    </w:p>
    <w:p w:rsidR="0082021E" w:rsidRPr="0082021E" w:rsidRDefault="0082021E" w:rsidP="0082021E">
      <w:pPr>
        <w:spacing w:after="120"/>
        <w:ind w:firstLine="567"/>
        <w:jc w:val="both"/>
        <w:rPr>
          <w:i/>
          <w:sz w:val="28"/>
          <w:szCs w:val="28"/>
        </w:rPr>
      </w:pPr>
      <w:r w:rsidRPr="0082021E">
        <w:rPr>
          <w:i/>
          <w:sz w:val="28"/>
          <w:szCs w:val="28"/>
        </w:rPr>
        <w:t>Căn cứ Nghị quyết số 202/2025/QH15 ngày 12 tháng 6 năm 2025 của Quốc hội về sắp xếp đơn vị hành chính cấp tỉnh;</w:t>
      </w:r>
    </w:p>
    <w:p w:rsidR="0082021E" w:rsidRPr="0082021E" w:rsidRDefault="0082021E" w:rsidP="0082021E">
      <w:pPr>
        <w:spacing w:after="120"/>
        <w:ind w:firstLine="567"/>
        <w:jc w:val="both"/>
        <w:rPr>
          <w:i/>
          <w:sz w:val="28"/>
          <w:szCs w:val="28"/>
        </w:rPr>
      </w:pPr>
      <w:r w:rsidRPr="0082021E">
        <w:rPr>
          <w:i/>
          <w:sz w:val="28"/>
          <w:szCs w:val="28"/>
        </w:rPr>
        <w:t>Căn cứ Nghị quyết số 254/2025/QH15 ngày 11 tháng 12 năm 2025 của Quốc hội quy định một số cơ chế, chính sách tháo gỡ khó khăn, vướng mắc trong tổ chức thi hành Luật Đất đai về tiền sử dụng đất, tiền thuê đất;</w:t>
      </w:r>
    </w:p>
    <w:p w:rsidR="0082021E" w:rsidRPr="0082021E" w:rsidRDefault="0082021E" w:rsidP="0082021E">
      <w:pPr>
        <w:spacing w:after="120"/>
        <w:ind w:firstLine="567"/>
        <w:jc w:val="both"/>
        <w:rPr>
          <w:i/>
          <w:sz w:val="28"/>
          <w:szCs w:val="28"/>
        </w:rPr>
      </w:pPr>
      <w:r w:rsidRPr="0082021E">
        <w:rPr>
          <w:i/>
          <w:sz w:val="28"/>
          <w:szCs w:val="28"/>
        </w:rPr>
        <w:t>Căn cứ Nghị định số 103/2024/NĐ-CP ngày 30 tháng 7 năm 2024 của Chính phủ quy định về tiền sử dụng đất, tiền thuê đất;</w:t>
      </w:r>
    </w:p>
    <w:p w:rsidR="0082021E" w:rsidRPr="0082021E" w:rsidRDefault="0082021E" w:rsidP="0082021E">
      <w:pPr>
        <w:spacing w:after="120"/>
        <w:ind w:firstLine="567"/>
        <w:jc w:val="both"/>
        <w:rPr>
          <w:i/>
          <w:sz w:val="28"/>
          <w:szCs w:val="28"/>
        </w:rPr>
      </w:pPr>
      <w:r w:rsidRPr="0082021E">
        <w:rPr>
          <w:i/>
          <w:sz w:val="28"/>
          <w:szCs w:val="28"/>
        </w:rPr>
        <w:t xml:space="preserve">Căn cứ Nghị định số 78/2025/NĐ-CP ngày 01 tháng 4 năm 2025 của Chính phủ quy định chi tiết và biện pháp thi hành Luật Ban hành văn bản quy phạm pháp luật; </w:t>
      </w:r>
      <w:bookmarkStart w:id="2" w:name="_Hlk219904557"/>
    </w:p>
    <w:p w:rsidR="0082021E" w:rsidRPr="0082021E" w:rsidRDefault="0082021E" w:rsidP="0082021E">
      <w:pPr>
        <w:spacing w:after="120"/>
        <w:ind w:firstLine="567"/>
        <w:jc w:val="both"/>
        <w:rPr>
          <w:i/>
          <w:sz w:val="28"/>
          <w:szCs w:val="28"/>
        </w:rPr>
      </w:pPr>
      <w:r w:rsidRPr="0082021E">
        <w:rPr>
          <w:i/>
          <w:sz w:val="28"/>
          <w:szCs w:val="28"/>
        </w:rPr>
        <w:t>Căn cứ Nghị định số 291/2025/NĐ-CP</w:t>
      </w:r>
      <w:bookmarkEnd w:id="2"/>
      <w:r w:rsidRPr="0082021E">
        <w:rPr>
          <w:i/>
          <w:sz w:val="28"/>
          <w:szCs w:val="28"/>
        </w:rPr>
        <w:t xml:space="preserve"> ngày 06 tháng 11 năm 2025 của Chính phủ sửa đổi, bổ sung một số điều của Nghị định số 103/2024/NĐ-CP ngày 30 tháng 7 năm 2024 của Chính phủ quy định về tiền sử dụng đất, tiền thuê đất;</w:t>
      </w:r>
    </w:p>
    <w:p w:rsidR="0082021E" w:rsidRPr="0082021E" w:rsidRDefault="0082021E" w:rsidP="0082021E">
      <w:pPr>
        <w:spacing w:after="120"/>
        <w:ind w:firstLine="567"/>
        <w:jc w:val="both"/>
        <w:rPr>
          <w:i/>
          <w:sz w:val="28"/>
          <w:szCs w:val="28"/>
        </w:rPr>
      </w:pPr>
      <w:r w:rsidRPr="0082021E">
        <w:rPr>
          <w:i/>
          <w:sz w:val="28"/>
          <w:szCs w:val="28"/>
        </w:rPr>
        <w:t>Căn cứ Nghị định số 50/2026/NĐ-CP ngày 31 tháng 01 năm 2026 của Chính phủ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w:t>
      </w:r>
    </w:p>
    <w:p w:rsidR="0082021E" w:rsidRPr="0082021E" w:rsidRDefault="0082021E" w:rsidP="0082021E">
      <w:pPr>
        <w:spacing w:after="120"/>
        <w:ind w:firstLine="567"/>
        <w:jc w:val="both"/>
        <w:rPr>
          <w:i/>
          <w:sz w:val="28"/>
          <w:szCs w:val="28"/>
        </w:rPr>
      </w:pPr>
      <w:r w:rsidRPr="0082021E">
        <w:rPr>
          <w:i/>
          <w:sz w:val="28"/>
          <w:szCs w:val="28"/>
        </w:rPr>
        <w:t>Căn cứ Thông tư số 26/2025/TT-BTP ngày 12 tháng 12 năm 2025 của Bộ trưởng Bộ Tư pháp hướng dẫn xây dựng, ban hành văn bản quy phạm pháp luật;</w:t>
      </w:r>
    </w:p>
    <w:p w:rsidR="00F53EE0" w:rsidRDefault="00BB1AD7" w:rsidP="0082021E">
      <w:pPr>
        <w:spacing w:after="120"/>
        <w:ind w:firstLine="567"/>
        <w:jc w:val="both"/>
        <w:rPr>
          <w:bCs/>
          <w:i/>
          <w:iCs/>
          <w:spacing w:val="-2"/>
          <w:sz w:val="28"/>
          <w:szCs w:val="28"/>
        </w:rPr>
      </w:pPr>
      <w:r w:rsidRPr="001E78A6">
        <w:rPr>
          <w:i/>
          <w:iCs/>
          <w:sz w:val="28"/>
          <w:szCs w:val="28"/>
          <w:lang w:val="vi-VN"/>
        </w:rPr>
        <w:lastRenderedPageBreak/>
        <w:t>Theo đề nghị của Sở Tài ch</w:t>
      </w:r>
      <w:r w:rsidRPr="001E78A6">
        <w:rPr>
          <w:i/>
          <w:iCs/>
          <w:sz w:val="28"/>
          <w:szCs w:val="28"/>
        </w:rPr>
        <w:t>í</w:t>
      </w:r>
      <w:r w:rsidRPr="001E78A6">
        <w:rPr>
          <w:i/>
          <w:iCs/>
          <w:sz w:val="28"/>
          <w:szCs w:val="28"/>
          <w:lang w:val="vi-VN"/>
        </w:rPr>
        <w:t xml:space="preserve">nh </w:t>
      </w:r>
      <w:r w:rsidRPr="00F53EE0">
        <w:rPr>
          <w:i/>
          <w:iCs/>
          <w:sz w:val="28"/>
          <w:szCs w:val="28"/>
          <w:lang w:val="vi-VN"/>
        </w:rPr>
        <w:t xml:space="preserve">tại Tờ trình số </w:t>
      </w:r>
      <w:r w:rsidR="00586650" w:rsidRPr="00F53EE0">
        <w:rPr>
          <w:i/>
          <w:iCs/>
          <w:sz w:val="28"/>
          <w:szCs w:val="28"/>
        </w:rPr>
        <w:t xml:space="preserve">       </w:t>
      </w:r>
      <w:r w:rsidRPr="00F53EE0">
        <w:rPr>
          <w:i/>
          <w:iCs/>
          <w:sz w:val="28"/>
          <w:szCs w:val="28"/>
          <w:lang w:val="vi-VN"/>
        </w:rPr>
        <w:t xml:space="preserve">/TTr-STC ngày </w:t>
      </w:r>
      <w:r w:rsidR="00586650" w:rsidRPr="00F53EE0">
        <w:rPr>
          <w:i/>
          <w:iCs/>
          <w:sz w:val="28"/>
          <w:szCs w:val="28"/>
        </w:rPr>
        <w:t xml:space="preserve">     </w:t>
      </w:r>
      <w:r w:rsidRPr="00F53EE0">
        <w:rPr>
          <w:i/>
          <w:iCs/>
          <w:sz w:val="28"/>
          <w:szCs w:val="28"/>
          <w:lang w:val="vi-VN"/>
        </w:rPr>
        <w:t>/</w:t>
      </w:r>
      <w:r w:rsidR="00115F54">
        <w:rPr>
          <w:i/>
          <w:iCs/>
          <w:sz w:val="28"/>
          <w:szCs w:val="28"/>
        </w:rPr>
        <w:t xml:space="preserve">   </w:t>
      </w:r>
      <w:r w:rsidR="00182B48" w:rsidRPr="00F53EE0">
        <w:rPr>
          <w:i/>
          <w:iCs/>
          <w:sz w:val="28"/>
          <w:szCs w:val="28"/>
        </w:rPr>
        <w:t>/2025</w:t>
      </w:r>
      <w:r w:rsidR="008D313E">
        <w:rPr>
          <w:i/>
          <w:iCs/>
          <w:sz w:val="28"/>
          <w:szCs w:val="28"/>
        </w:rPr>
        <w:t>;</w:t>
      </w:r>
    </w:p>
    <w:p w:rsidR="00F53EE0" w:rsidRDefault="00F53EE0" w:rsidP="009A1F89">
      <w:pPr>
        <w:spacing w:after="120"/>
        <w:ind w:right="49" w:firstLine="567"/>
        <w:jc w:val="both"/>
        <w:rPr>
          <w:i/>
          <w:sz w:val="28"/>
          <w:szCs w:val="28"/>
        </w:rPr>
      </w:pPr>
      <w:r w:rsidRPr="00F53EE0">
        <w:rPr>
          <w:i/>
          <w:iCs/>
          <w:sz w:val="28"/>
          <w:szCs w:val="28"/>
          <w:lang w:val="vi-VN"/>
        </w:rPr>
        <w:t>Ủy ban nhân dân tỉnh</w:t>
      </w:r>
      <w:r w:rsidR="00035D78">
        <w:rPr>
          <w:i/>
          <w:iCs/>
          <w:sz w:val="28"/>
          <w:szCs w:val="28"/>
        </w:rPr>
        <w:t xml:space="preserve"> An Giang ban hành</w:t>
      </w:r>
      <w:r w:rsidRPr="00F53EE0">
        <w:rPr>
          <w:i/>
          <w:iCs/>
          <w:sz w:val="28"/>
          <w:szCs w:val="28"/>
          <w:lang w:val="vi-VN"/>
        </w:rPr>
        <w:t xml:space="preserve"> </w:t>
      </w:r>
      <w:r w:rsidR="009A1F89">
        <w:rPr>
          <w:i/>
          <w:iCs/>
          <w:sz w:val="28"/>
          <w:szCs w:val="28"/>
        </w:rPr>
        <w:t>Quyết định</w:t>
      </w:r>
      <w:r w:rsidR="0005797D" w:rsidRPr="0005797D">
        <w:rPr>
          <w:i/>
          <w:iCs/>
          <w:sz w:val="28"/>
          <w:szCs w:val="28"/>
        </w:rPr>
        <w:t xml:space="preserve"> </w:t>
      </w:r>
      <w:r w:rsidR="0005797D" w:rsidRPr="0005797D">
        <w:rPr>
          <w:i/>
          <w:sz w:val="28"/>
          <w:szCs w:val="28"/>
        </w:rPr>
        <w:t>quy định mức tỷ lệ phần trăm (%) cụ thể để xác định đơn giá thuê đất; mức tỷ lệ phần trăm (%) để tính tiền thuê đối với đất xây dựng công trình ngầm, công trình ngầm nằm ngoài phần không gian sử dụng đất đã xác định cho người sử dụng đất, đất có mặt nước trên địa bàn tỉnh An Giang.</w:t>
      </w:r>
    </w:p>
    <w:p w:rsidR="00D2260A" w:rsidRPr="00714A30" w:rsidRDefault="00D2260A" w:rsidP="00D2260A">
      <w:pPr>
        <w:spacing w:after="120"/>
        <w:ind w:firstLine="567"/>
        <w:jc w:val="both"/>
        <w:rPr>
          <w:b/>
          <w:i/>
          <w:sz w:val="28"/>
          <w:szCs w:val="28"/>
        </w:rPr>
      </w:pPr>
      <w:r w:rsidRPr="00714A30">
        <w:rPr>
          <w:b/>
          <w:sz w:val="28"/>
          <w:szCs w:val="28"/>
        </w:rPr>
        <w:t>Điều 1. Phạm vi điều chỉnh và đối tượng áp dụng</w:t>
      </w:r>
    </w:p>
    <w:p w:rsidR="00F574B1" w:rsidRDefault="00F574B1" w:rsidP="00F574B1">
      <w:pPr>
        <w:spacing w:after="120"/>
        <w:ind w:firstLine="567"/>
        <w:jc w:val="both"/>
        <w:rPr>
          <w:b/>
          <w:i/>
          <w:sz w:val="28"/>
          <w:szCs w:val="28"/>
        </w:rPr>
      </w:pPr>
      <w:r w:rsidRPr="002C2D10">
        <w:rPr>
          <w:sz w:val="28"/>
          <w:szCs w:val="28"/>
        </w:rPr>
        <w:t>1. Phạm vi điều chỉnh</w:t>
      </w:r>
    </w:p>
    <w:p w:rsidR="00F574B1" w:rsidRDefault="00F574B1" w:rsidP="00F574B1">
      <w:pPr>
        <w:spacing w:after="120"/>
        <w:ind w:firstLine="567"/>
        <w:jc w:val="both"/>
        <w:rPr>
          <w:b/>
          <w:i/>
          <w:sz w:val="28"/>
          <w:szCs w:val="28"/>
        </w:rPr>
      </w:pPr>
      <w:r w:rsidRPr="002C2D10">
        <w:rPr>
          <w:sz w:val="28"/>
          <w:szCs w:val="28"/>
        </w:rPr>
        <w:t>Quyết định này quy định mức tỷ lệ phần trăm (%) để xác định đơn giá thuê đất; mức tỷ lệ phần trăm (%) để tính tiền thuê đối với đất xây dựng công trình ngầm, công trình ngầm nằm ngoài phần không gian sử dụng đất đã xác định cho người sử dụng đất, đất có mặt nước trên địa bàn tỉnh An Giang.</w:t>
      </w:r>
    </w:p>
    <w:p w:rsidR="00F574B1" w:rsidRDefault="00F574B1" w:rsidP="00F574B1">
      <w:pPr>
        <w:spacing w:after="120"/>
        <w:ind w:firstLine="567"/>
        <w:jc w:val="both"/>
        <w:rPr>
          <w:b/>
          <w:i/>
          <w:sz w:val="28"/>
          <w:szCs w:val="28"/>
        </w:rPr>
      </w:pPr>
      <w:r w:rsidRPr="002C2D10">
        <w:rPr>
          <w:sz w:val="28"/>
          <w:szCs w:val="28"/>
        </w:rPr>
        <w:t>2. Đối tượng áp dụng</w:t>
      </w:r>
    </w:p>
    <w:p w:rsidR="00F574B1" w:rsidRDefault="00F574B1" w:rsidP="00F574B1">
      <w:pPr>
        <w:spacing w:after="120"/>
        <w:ind w:firstLine="567"/>
        <w:jc w:val="both"/>
        <w:rPr>
          <w:b/>
          <w:i/>
          <w:sz w:val="28"/>
          <w:szCs w:val="28"/>
        </w:rPr>
      </w:pPr>
      <w:r w:rsidRPr="002C2D10">
        <w:rPr>
          <w:sz w:val="28"/>
          <w:szCs w:val="28"/>
        </w:rPr>
        <w:t>a) Cơ quan nhà nước thực hiện việc quản lý, tính, thu tiền thuê đất.</w:t>
      </w:r>
    </w:p>
    <w:p w:rsidR="00F574B1" w:rsidRDefault="00F574B1" w:rsidP="00F574B1">
      <w:pPr>
        <w:spacing w:after="120"/>
        <w:ind w:firstLine="567"/>
        <w:jc w:val="both"/>
        <w:rPr>
          <w:b/>
          <w:i/>
          <w:sz w:val="28"/>
          <w:szCs w:val="28"/>
        </w:rPr>
      </w:pPr>
      <w:r w:rsidRPr="002C2D10">
        <w:rPr>
          <w:sz w:val="28"/>
          <w:szCs w:val="28"/>
        </w:rPr>
        <w:t>b) Người sử dụng đất theo quy định tại Điều 4 Luật Đất đai số 31/2024/QH15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sidR="00F574B1" w:rsidRDefault="00F574B1" w:rsidP="00F574B1">
      <w:pPr>
        <w:spacing w:after="120"/>
        <w:ind w:firstLine="567"/>
        <w:jc w:val="both"/>
        <w:rPr>
          <w:b/>
          <w:sz w:val="28"/>
          <w:szCs w:val="28"/>
        </w:rPr>
      </w:pPr>
      <w:r w:rsidRPr="002C2D10">
        <w:rPr>
          <w:sz w:val="28"/>
          <w:szCs w:val="28"/>
        </w:rPr>
        <w:t>c) Các đối tượng khác liên quan đến việc tính, thu, nộp, quản lý tiền thuê đất.</w:t>
      </w:r>
    </w:p>
    <w:p w:rsidR="00D2260A" w:rsidRPr="00714A30" w:rsidRDefault="00D2260A" w:rsidP="00D2260A">
      <w:pPr>
        <w:spacing w:after="120"/>
        <w:ind w:firstLine="567"/>
        <w:jc w:val="both"/>
        <w:rPr>
          <w:b/>
          <w:sz w:val="28"/>
          <w:szCs w:val="28"/>
        </w:rPr>
      </w:pPr>
      <w:r w:rsidRPr="00714A30">
        <w:rPr>
          <w:b/>
          <w:sz w:val="28"/>
          <w:szCs w:val="28"/>
        </w:rPr>
        <w:t>Điều 2. Mức tỷ lệ phần trăm (%) tính đơn giá thuê đất</w:t>
      </w:r>
    </w:p>
    <w:p w:rsidR="004F0524" w:rsidRPr="00491B95" w:rsidRDefault="004F0524" w:rsidP="004F0524">
      <w:pPr>
        <w:spacing w:after="120"/>
        <w:ind w:firstLine="567"/>
        <w:jc w:val="both"/>
        <w:rPr>
          <w:b/>
          <w:i/>
          <w:sz w:val="28"/>
          <w:szCs w:val="28"/>
        </w:rPr>
      </w:pPr>
      <w:r w:rsidRPr="002C2D10">
        <w:rPr>
          <w:sz w:val="28"/>
          <w:szCs w:val="28"/>
        </w:rPr>
        <w:t>Mức tỷ lệ phần trăm (%) tính đơn giá thuê đất một năm theo từng khu vực, tương ứng với từng mục đích sử dụng đất, như sau:</w:t>
      </w:r>
    </w:p>
    <w:tbl>
      <w:tblPr>
        <w:tblStyle w:val="TableGrid"/>
        <w:tblW w:w="0" w:type="auto"/>
        <w:tblLook w:val="04A0" w:firstRow="1" w:lastRow="0" w:firstColumn="1" w:lastColumn="0" w:noHBand="0" w:noVBand="1"/>
      </w:tblPr>
      <w:tblGrid>
        <w:gridCol w:w="704"/>
        <w:gridCol w:w="4677"/>
        <w:gridCol w:w="3680"/>
      </w:tblGrid>
      <w:tr w:rsidR="004F0524" w:rsidRPr="002C2D10" w:rsidTr="00945A87">
        <w:tc>
          <w:tcPr>
            <w:tcW w:w="704" w:type="dxa"/>
            <w:vAlign w:val="center"/>
          </w:tcPr>
          <w:p w:rsidR="004F0524" w:rsidRPr="00491B95" w:rsidRDefault="004F0524" w:rsidP="00DF5C96">
            <w:pPr>
              <w:spacing w:before="60" w:after="60"/>
              <w:jc w:val="center"/>
              <w:rPr>
                <w:b/>
                <w:sz w:val="28"/>
                <w:szCs w:val="28"/>
              </w:rPr>
            </w:pPr>
            <w:r w:rsidRPr="00491B95">
              <w:rPr>
                <w:b/>
                <w:sz w:val="28"/>
                <w:szCs w:val="28"/>
              </w:rPr>
              <w:t>TT</w:t>
            </w:r>
          </w:p>
        </w:tc>
        <w:tc>
          <w:tcPr>
            <w:tcW w:w="4677" w:type="dxa"/>
            <w:vAlign w:val="center"/>
          </w:tcPr>
          <w:p w:rsidR="004F0524" w:rsidRPr="00491B95" w:rsidRDefault="004F0524" w:rsidP="00DF5C96">
            <w:pPr>
              <w:spacing w:before="60" w:after="60"/>
              <w:jc w:val="center"/>
              <w:rPr>
                <w:b/>
                <w:sz w:val="28"/>
                <w:szCs w:val="28"/>
              </w:rPr>
            </w:pPr>
            <w:r w:rsidRPr="00491B95">
              <w:rPr>
                <w:b/>
                <w:sz w:val="28"/>
                <w:szCs w:val="28"/>
              </w:rPr>
              <w:t>Khu vực/Mục đích sử dụng đất</w:t>
            </w:r>
          </w:p>
        </w:tc>
        <w:tc>
          <w:tcPr>
            <w:tcW w:w="3680" w:type="dxa"/>
            <w:vAlign w:val="center"/>
          </w:tcPr>
          <w:p w:rsidR="004F0524" w:rsidRPr="00491B95" w:rsidRDefault="004F0524" w:rsidP="00DF5C96">
            <w:pPr>
              <w:spacing w:before="60" w:after="60"/>
              <w:jc w:val="center"/>
              <w:rPr>
                <w:b/>
                <w:sz w:val="28"/>
                <w:szCs w:val="28"/>
              </w:rPr>
            </w:pPr>
            <w:r w:rsidRPr="00491B95">
              <w:rPr>
                <w:b/>
                <w:sz w:val="28"/>
                <w:szCs w:val="28"/>
              </w:rPr>
              <w:t>Mức tỷ lệ phần trăm (%) tính đơn giá thuê đất</w:t>
            </w:r>
          </w:p>
        </w:tc>
      </w:tr>
      <w:tr w:rsidR="004F0524" w:rsidRPr="002C2D10" w:rsidTr="00945A87">
        <w:tc>
          <w:tcPr>
            <w:tcW w:w="704" w:type="dxa"/>
            <w:vAlign w:val="center"/>
          </w:tcPr>
          <w:p w:rsidR="004F0524" w:rsidRPr="00491B95" w:rsidRDefault="004F0524" w:rsidP="00DF5C96">
            <w:pPr>
              <w:spacing w:before="60" w:after="60"/>
              <w:jc w:val="center"/>
              <w:rPr>
                <w:b/>
                <w:sz w:val="28"/>
                <w:szCs w:val="28"/>
              </w:rPr>
            </w:pPr>
            <w:r w:rsidRPr="00491B95">
              <w:rPr>
                <w:b/>
                <w:sz w:val="28"/>
                <w:szCs w:val="28"/>
              </w:rPr>
              <w:t>1</w:t>
            </w:r>
          </w:p>
        </w:tc>
        <w:tc>
          <w:tcPr>
            <w:tcW w:w="8357" w:type="dxa"/>
            <w:gridSpan w:val="2"/>
          </w:tcPr>
          <w:p w:rsidR="004F0524" w:rsidRPr="00491B95" w:rsidRDefault="004F0524" w:rsidP="00DF5C96">
            <w:pPr>
              <w:spacing w:before="60" w:after="60"/>
              <w:rPr>
                <w:b/>
                <w:sz w:val="28"/>
                <w:szCs w:val="28"/>
              </w:rPr>
            </w:pPr>
            <w:r w:rsidRPr="00491B95">
              <w:rPr>
                <w:b/>
                <w:sz w:val="28"/>
                <w:szCs w:val="28"/>
              </w:rPr>
              <w:t>Phường Rạch Giá, phường Long Xuyên và đặc khu Phú Quốc (bao gồm Khu kinh tế Phú Quốc)</w:t>
            </w:r>
          </w:p>
        </w:tc>
      </w:tr>
      <w:tr w:rsidR="004F0524" w:rsidTr="00945A87">
        <w:tc>
          <w:tcPr>
            <w:tcW w:w="704" w:type="dxa"/>
            <w:vAlign w:val="center"/>
          </w:tcPr>
          <w:p w:rsidR="004F0524" w:rsidRDefault="004F0524" w:rsidP="00DF5C96">
            <w:pPr>
              <w:widowControl w:val="0"/>
              <w:spacing w:before="60" w:after="60"/>
              <w:jc w:val="center"/>
              <w:rPr>
                <w:iCs/>
                <w:spacing w:val="-4"/>
                <w:sz w:val="28"/>
                <w:szCs w:val="28"/>
              </w:rPr>
            </w:pPr>
          </w:p>
        </w:tc>
        <w:tc>
          <w:tcPr>
            <w:tcW w:w="4677" w:type="dxa"/>
          </w:tcPr>
          <w:p w:rsidR="004F0524" w:rsidRDefault="004F0524" w:rsidP="00DF5C96">
            <w:pPr>
              <w:widowControl w:val="0"/>
              <w:spacing w:before="60" w:after="60"/>
              <w:jc w:val="both"/>
              <w:rPr>
                <w:iCs/>
                <w:spacing w:val="-4"/>
                <w:sz w:val="28"/>
                <w:szCs w:val="28"/>
              </w:rPr>
            </w:pPr>
            <w:r>
              <w:rPr>
                <w:iCs/>
                <w:spacing w:val="-4"/>
                <w:sz w:val="28"/>
                <w:szCs w:val="28"/>
              </w:rPr>
              <w:t>Đất thương mại, dịch vụ</w:t>
            </w:r>
          </w:p>
        </w:tc>
        <w:tc>
          <w:tcPr>
            <w:tcW w:w="3680" w:type="dxa"/>
            <w:vAlign w:val="center"/>
          </w:tcPr>
          <w:p w:rsidR="004F0524" w:rsidRDefault="004F0524" w:rsidP="00DF5C96">
            <w:pPr>
              <w:widowControl w:val="0"/>
              <w:spacing w:before="60" w:after="60"/>
              <w:jc w:val="center"/>
              <w:rPr>
                <w:iCs/>
                <w:spacing w:val="-4"/>
                <w:sz w:val="28"/>
                <w:szCs w:val="28"/>
              </w:rPr>
            </w:pPr>
            <w:r>
              <w:rPr>
                <w:iCs/>
                <w:spacing w:val="-4"/>
                <w:sz w:val="28"/>
                <w:szCs w:val="28"/>
              </w:rPr>
              <w:t>2%</w:t>
            </w:r>
          </w:p>
        </w:tc>
      </w:tr>
      <w:tr w:rsidR="004F0524" w:rsidTr="00945A87">
        <w:tc>
          <w:tcPr>
            <w:tcW w:w="704" w:type="dxa"/>
            <w:vAlign w:val="center"/>
          </w:tcPr>
          <w:p w:rsidR="004F0524" w:rsidRDefault="004F0524" w:rsidP="00DF5C96">
            <w:pPr>
              <w:widowControl w:val="0"/>
              <w:spacing w:before="60" w:after="60"/>
              <w:jc w:val="center"/>
              <w:rPr>
                <w:iCs/>
                <w:spacing w:val="-4"/>
                <w:sz w:val="28"/>
                <w:szCs w:val="28"/>
              </w:rPr>
            </w:pPr>
          </w:p>
        </w:tc>
        <w:tc>
          <w:tcPr>
            <w:tcW w:w="4677" w:type="dxa"/>
          </w:tcPr>
          <w:p w:rsidR="004F0524" w:rsidRDefault="004F0524" w:rsidP="00DF5C96">
            <w:pPr>
              <w:widowControl w:val="0"/>
              <w:spacing w:before="60" w:after="60"/>
              <w:jc w:val="both"/>
              <w:rPr>
                <w:iCs/>
                <w:spacing w:val="-4"/>
                <w:sz w:val="28"/>
                <w:szCs w:val="28"/>
              </w:rPr>
            </w:pPr>
            <w:r>
              <w:rPr>
                <w:iCs/>
                <w:spacing w:val="-4"/>
                <w:sz w:val="28"/>
                <w:szCs w:val="28"/>
              </w:rPr>
              <w:t>Các loại đất còn lại</w:t>
            </w:r>
          </w:p>
        </w:tc>
        <w:tc>
          <w:tcPr>
            <w:tcW w:w="3680" w:type="dxa"/>
            <w:vAlign w:val="center"/>
          </w:tcPr>
          <w:p w:rsidR="004F0524" w:rsidRDefault="004F0524" w:rsidP="00DF5C96">
            <w:pPr>
              <w:widowControl w:val="0"/>
              <w:spacing w:before="60" w:after="60"/>
              <w:jc w:val="center"/>
              <w:rPr>
                <w:iCs/>
                <w:spacing w:val="-4"/>
                <w:sz w:val="28"/>
                <w:szCs w:val="28"/>
              </w:rPr>
            </w:pPr>
            <w:r>
              <w:rPr>
                <w:iCs/>
                <w:spacing w:val="-4"/>
                <w:sz w:val="28"/>
                <w:szCs w:val="28"/>
              </w:rPr>
              <w:t>1,5%</w:t>
            </w:r>
          </w:p>
        </w:tc>
      </w:tr>
      <w:tr w:rsidR="004F0524" w:rsidTr="00945A87">
        <w:tc>
          <w:tcPr>
            <w:tcW w:w="704" w:type="dxa"/>
            <w:vAlign w:val="center"/>
          </w:tcPr>
          <w:p w:rsidR="004F0524" w:rsidRPr="00D33F0F" w:rsidRDefault="004F0524" w:rsidP="00DF5C96">
            <w:pPr>
              <w:widowControl w:val="0"/>
              <w:spacing w:before="60" w:after="60"/>
              <w:jc w:val="center"/>
              <w:rPr>
                <w:b/>
                <w:iCs/>
                <w:spacing w:val="-4"/>
                <w:sz w:val="28"/>
                <w:szCs w:val="28"/>
              </w:rPr>
            </w:pPr>
            <w:r w:rsidRPr="00D33F0F">
              <w:rPr>
                <w:b/>
                <w:iCs/>
                <w:spacing w:val="-4"/>
                <w:sz w:val="28"/>
                <w:szCs w:val="28"/>
              </w:rPr>
              <w:t>2</w:t>
            </w:r>
          </w:p>
        </w:tc>
        <w:tc>
          <w:tcPr>
            <w:tcW w:w="8357" w:type="dxa"/>
            <w:gridSpan w:val="2"/>
          </w:tcPr>
          <w:p w:rsidR="004F0524" w:rsidRPr="00D33F0F" w:rsidRDefault="004F0524" w:rsidP="00DF5C96">
            <w:pPr>
              <w:widowControl w:val="0"/>
              <w:spacing w:before="60" w:after="60"/>
              <w:jc w:val="both"/>
              <w:rPr>
                <w:b/>
                <w:iCs/>
                <w:spacing w:val="-4"/>
                <w:sz w:val="28"/>
                <w:szCs w:val="28"/>
              </w:rPr>
            </w:pPr>
            <w:r w:rsidRPr="00D33F0F">
              <w:rPr>
                <w:b/>
                <w:iCs/>
                <w:spacing w:val="-4"/>
                <w:sz w:val="28"/>
                <w:szCs w:val="28"/>
              </w:rPr>
              <w:t xml:space="preserve">Các phường còn lại (trừ phường Rạch Giá, phường Long Xuyên, </w:t>
            </w:r>
            <w:r>
              <w:rPr>
                <w:b/>
                <w:iCs/>
                <w:spacing w:val="-4"/>
                <w:sz w:val="28"/>
                <w:szCs w:val="28"/>
              </w:rPr>
              <w:t>k</w:t>
            </w:r>
            <w:r w:rsidRPr="00D33F0F">
              <w:rPr>
                <w:b/>
                <w:iCs/>
                <w:spacing w:val="-4"/>
                <w:sz w:val="28"/>
                <w:szCs w:val="28"/>
              </w:rPr>
              <w:t xml:space="preserve">hu công nghiệp, </w:t>
            </w:r>
            <w:r>
              <w:rPr>
                <w:b/>
                <w:iCs/>
                <w:spacing w:val="-4"/>
                <w:sz w:val="28"/>
                <w:szCs w:val="28"/>
              </w:rPr>
              <w:t>k</w:t>
            </w:r>
            <w:r w:rsidRPr="00D33F0F">
              <w:rPr>
                <w:b/>
                <w:iCs/>
                <w:spacing w:val="-4"/>
                <w:sz w:val="28"/>
                <w:szCs w:val="28"/>
              </w:rPr>
              <w:t>hu kinh tế)</w:t>
            </w:r>
          </w:p>
        </w:tc>
      </w:tr>
      <w:tr w:rsidR="004F0524" w:rsidTr="00945A87">
        <w:tc>
          <w:tcPr>
            <w:tcW w:w="704" w:type="dxa"/>
            <w:vAlign w:val="center"/>
          </w:tcPr>
          <w:p w:rsidR="004F0524" w:rsidRDefault="004F0524" w:rsidP="00DF5C96">
            <w:pPr>
              <w:widowControl w:val="0"/>
              <w:spacing w:before="60" w:after="60"/>
              <w:jc w:val="center"/>
              <w:rPr>
                <w:iCs/>
                <w:spacing w:val="-4"/>
                <w:sz w:val="28"/>
                <w:szCs w:val="28"/>
              </w:rPr>
            </w:pPr>
          </w:p>
        </w:tc>
        <w:tc>
          <w:tcPr>
            <w:tcW w:w="4677" w:type="dxa"/>
          </w:tcPr>
          <w:p w:rsidR="004F0524" w:rsidRDefault="004F0524" w:rsidP="00DF5C96">
            <w:pPr>
              <w:widowControl w:val="0"/>
              <w:spacing w:before="60" w:after="60"/>
              <w:jc w:val="both"/>
              <w:rPr>
                <w:iCs/>
                <w:spacing w:val="-4"/>
                <w:sz w:val="28"/>
                <w:szCs w:val="28"/>
              </w:rPr>
            </w:pPr>
            <w:r>
              <w:rPr>
                <w:iCs/>
                <w:spacing w:val="-4"/>
                <w:sz w:val="28"/>
                <w:szCs w:val="28"/>
              </w:rPr>
              <w:t>Đất thương mại, dịch vụ</w:t>
            </w:r>
          </w:p>
        </w:tc>
        <w:tc>
          <w:tcPr>
            <w:tcW w:w="3680" w:type="dxa"/>
            <w:vAlign w:val="center"/>
          </w:tcPr>
          <w:p w:rsidR="004F0524" w:rsidRDefault="004F0524" w:rsidP="00DF5C96">
            <w:pPr>
              <w:widowControl w:val="0"/>
              <w:spacing w:before="60" w:after="60"/>
              <w:jc w:val="center"/>
              <w:rPr>
                <w:iCs/>
                <w:spacing w:val="-4"/>
                <w:sz w:val="28"/>
                <w:szCs w:val="28"/>
              </w:rPr>
            </w:pPr>
            <w:r>
              <w:rPr>
                <w:iCs/>
                <w:spacing w:val="-4"/>
                <w:sz w:val="28"/>
                <w:szCs w:val="28"/>
              </w:rPr>
              <w:t>1,5%</w:t>
            </w:r>
          </w:p>
        </w:tc>
      </w:tr>
      <w:tr w:rsidR="004F0524" w:rsidTr="00945A87">
        <w:tc>
          <w:tcPr>
            <w:tcW w:w="704" w:type="dxa"/>
            <w:vAlign w:val="center"/>
          </w:tcPr>
          <w:p w:rsidR="004F0524" w:rsidRDefault="004F0524" w:rsidP="00DF5C96">
            <w:pPr>
              <w:widowControl w:val="0"/>
              <w:spacing w:before="60" w:after="60"/>
              <w:jc w:val="center"/>
              <w:rPr>
                <w:iCs/>
                <w:spacing w:val="-4"/>
                <w:sz w:val="28"/>
                <w:szCs w:val="28"/>
              </w:rPr>
            </w:pPr>
          </w:p>
        </w:tc>
        <w:tc>
          <w:tcPr>
            <w:tcW w:w="4677" w:type="dxa"/>
          </w:tcPr>
          <w:p w:rsidR="004F0524" w:rsidRDefault="004F0524" w:rsidP="00DF5C96">
            <w:pPr>
              <w:widowControl w:val="0"/>
              <w:spacing w:before="60" w:after="60"/>
              <w:jc w:val="both"/>
              <w:rPr>
                <w:iCs/>
                <w:spacing w:val="-4"/>
                <w:sz w:val="28"/>
                <w:szCs w:val="28"/>
              </w:rPr>
            </w:pPr>
            <w:r>
              <w:rPr>
                <w:iCs/>
                <w:spacing w:val="-4"/>
                <w:sz w:val="28"/>
                <w:szCs w:val="28"/>
              </w:rPr>
              <w:t>Đất sản xuất, kinh doanh</w:t>
            </w:r>
          </w:p>
        </w:tc>
        <w:tc>
          <w:tcPr>
            <w:tcW w:w="3680" w:type="dxa"/>
            <w:vAlign w:val="center"/>
          </w:tcPr>
          <w:p w:rsidR="004F0524" w:rsidRDefault="004F0524" w:rsidP="00DF5C96">
            <w:pPr>
              <w:widowControl w:val="0"/>
              <w:spacing w:before="60" w:after="60"/>
              <w:jc w:val="center"/>
              <w:rPr>
                <w:iCs/>
                <w:spacing w:val="-4"/>
                <w:sz w:val="28"/>
                <w:szCs w:val="28"/>
              </w:rPr>
            </w:pPr>
            <w:r>
              <w:rPr>
                <w:iCs/>
                <w:spacing w:val="-4"/>
                <w:sz w:val="28"/>
                <w:szCs w:val="28"/>
              </w:rPr>
              <w:t>1%</w:t>
            </w:r>
          </w:p>
        </w:tc>
      </w:tr>
      <w:tr w:rsidR="004F0524" w:rsidTr="00945A87">
        <w:tc>
          <w:tcPr>
            <w:tcW w:w="704" w:type="dxa"/>
            <w:vAlign w:val="center"/>
          </w:tcPr>
          <w:p w:rsidR="004F0524" w:rsidRDefault="004F0524" w:rsidP="00DF5C96">
            <w:pPr>
              <w:widowControl w:val="0"/>
              <w:spacing w:before="60" w:after="60"/>
              <w:jc w:val="center"/>
              <w:rPr>
                <w:iCs/>
                <w:spacing w:val="-4"/>
                <w:sz w:val="28"/>
                <w:szCs w:val="28"/>
              </w:rPr>
            </w:pPr>
          </w:p>
        </w:tc>
        <w:tc>
          <w:tcPr>
            <w:tcW w:w="4677" w:type="dxa"/>
          </w:tcPr>
          <w:p w:rsidR="004F0524" w:rsidRDefault="004F0524" w:rsidP="00DF5C96">
            <w:pPr>
              <w:widowControl w:val="0"/>
              <w:spacing w:before="60" w:after="60"/>
              <w:jc w:val="both"/>
              <w:rPr>
                <w:iCs/>
                <w:spacing w:val="-4"/>
                <w:sz w:val="28"/>
                <w:szCs w:val="28"/>
              </w:rPr>
            </w:pPr>
            <w:r>
              <w:rPr>
                <w:iCs/>
                <w:spacing w:val="-4"/>
                <w:sz w:val="28"/>
                <w:szCs w:val="28"/>
              </w:rPr>
              <w:t>Đất nông nghiệp</w:t>
            </w:r>
          </w:p>
        </w:tc>
        <w:tc>
          <w:tcPr>
            <w:tcW w:w="3680" w:type="dxa"/>
            <w:vAlign w:val="center"/>
          </w:tcPr>
          <w:p w:rsidR="004F0524" w:rsidRDefault="004F0524" w:rsidP="00DF5C96">
            <w:pPr>
              <w:widowControl w:val="0"/>
              <w:spacing w:before="60" w:after="60"/>
              <w:jc w:val="center"/>
              <w:rPr>
                <w:iCs/>
                <w:spacing w:val="-4"/>
                <w:sz w:val="28"/>
                <w:szCs w:val="28"/>
              </w:rPr>
            </w:pPr>
            <w:r>
              <w:rPr>
                <w:iCs/>
                <w:spacing w:val="-4"/>
                <w:sz w:val="28"/>
                <w:szCs w:val="28"/>
              </w:rPr>
              <w:t>0,75%</w:t>
            </w:r>
          </w:p>
        </w:tc>
      </w:tr>
      <w:tr w:rsidR="004F0524" w:rsidTr="00945A87">
        <w:tc>
          <w:tcPr>
            <w:tcW w:w="704" w:type="dxa"/>
            <w:vAlign w:val="center"/>
          </w:tcPr>
          <w:p w:rsidR="004F0524" w:rsidRPr="00D33F0F" w:rsidRDefault="004F0524" w:rsidP="00DF5C96">
            <w:pPr>
              <w:widowControl w:val="0"/>
              <w:spacing w:before="60" w:after="60"/>
              <w:jc w:val="center"/>
              <w:rPr>
                <w:b/>
                <w:iCs/>
                <w:spacing w:val="-4"/>
                <w:sz w:val="28"/>
                <w:szCs w:val="28"/>
              </w:rPr>
            </w:pPr>
            <w:r w:rsidRPr="00D33F0F">
              <w:rPr>
                <w:b/>
                <w:iCs/>
                <w:spacing w:val="-4"/>
                <w:sz w:val="28"/>
                <w:szCs w:val="28"/>
              </w:rPr>
              <w:t>3</w:t>
            </w:r>
          </w:p>
        </w:tc>
        <w:tc>
          <w:tcPr>
            <w:tcW w:w="8357" w:type="dxa"/>
            <w:gridSpan w:val="2"/>
          </w:tcPr>
          <w:p w:rsidR="004F0524" w:rsidRPr="00D33F0F" w:rsidRDefault="004F0524" w:rsidP="00DF5C96">
            <w:pPr>
              <w:widowControl w:val="0"/>
              <w:spacing w:before="60" w:after="60"/>
              <w:jc w:val="both"/>
              <w:rPr>
                <w:b/>
                <w:iCs/>
                <w:spacing w:val="-4"/>
                <w:sz w:val="28"/>
                <w:szCs w:val="28"/>
              </w:rPr>
            </w:pPr>
            <w:r>
              <w:rPr>
                <w:b/>
                <w:iCs/>
                <w:spacing w:val="-4"/>
                <w:sz w:val="28"/>
                <w:szCs w:val="28"/>
              </w:rPr>
              <w:t>Các xã, đặc khu còn lại và các khu công nghiệp, khu kinh tế (trừ Khu kinh tế Phú Quốc)</w:t>
            </w:r>
          </w:p>
        </w:tc>
      </w:tr>
      <w:tr w:rsidR="004F0524" w:rsidTr="00945A87">
        <w:tc>
          <w:tcPr>
            <w:tcW w:w="704" w:type="dxa"/>
            <w:vAlign w:val="center"/>
          </w:tcPr>
          <w:p w:rsidR="004F0524" w:rsidRDefault="004F0524" w:rsidP="00DF5C96">
            <w:pPr>
              <w:widowControl w:val="0"/>
              <w:spacing w:before="60" w:after="60"/>
              <w:jc w:val="center"/>
              <w:rPr>
                <w:iCs/>
                <w:spacing w:val="-4"/>
                <w:sz w:val="28"/>
                <w:szCs w:val="28"/>
              </w:rPr>
            </w:pPr>
          </w:p>
        </w:tc>
        <w:tc>
          <w:tcPr>
            <w:tcW w:w="4677" w:type="dxa"/>
          </w:tcPr>
          <w:p w:rsidR="004F0524" w:rsidRDefault="004F0524" w:rsidP="00DF5C96">
            <w:pPr>
              <w:widowControl w:val="0"/>
              <w:spacing w:before="60" w:after="60"/>
              <w:jc w:val="both"/>
              <w:rPr>
                <w:iCs/>
                <w:spacing w:val="-4"/>
                <w:sz w:val="28"/>
                <w:szCs w:val="28"/>
              </w:rPr>
            </w:pPr>
            <w:r>
              <w:rPr>
                <w:iCs/>
                <w:spacing w:val="-4"/>
                <w:sz w:val="28"/>
                <w:szCs w:val="28"/>
              </w:rPr>
              <w:t>Đất thương mại, dịch vụ</w:t>
            </w:r>
          </w:p>
        </w:tc>
        <w:tc>
          <w:tcPr>
            <w:tcW w:w="3680" w:type="dxa"/>
            <w:vAlign w:val="center"/>
          </w:tcPr>
          <w:p w:rsidR="004F0524" w:rsidRDefault="004F0524" w:rsidP="00DF5C96">
            <w:pPr>
              <w:widowControl w:val="0"/>
              <w:spacing w:before="60" w:after="60"/>
              <w:jc w:val="center"/>
              <w:rPr>
                <w:iCs/>
                <w:spacing w:val="-4"/>
                <w:sz w:val="28"/>
                <w:szCs w:val="28"/>
              </w:rPr>
            </w:pPr>
            <w:r>
              <w:rPr>
                <w:iCs/>
                <w:spacing w:val="-4"/>
                <w:sz w:val="28"/>
                <w:szCs w:val="28"/>
              </w:rPr>
              <w:t>1%</w:t>
            </w:r>
          </w:p>
        </w:tc>
      </w:tr>
      <w:tr w:rsidR="004F0524" w:rsidTr="00945A87">
        <w:tc>
          <w:tcPr>
            <w:tcW w:w="704" w:type="dxa"/>
            <w:vAlign w:val="center"/>
          </w:tcPr>
          <w:p w:rsidR="004F0524" w:rsidRDefault="004F0524" w:rsidP="00DF5C96">
            <w:pPr>
              <w:widowControl w:val="0"/>
              <w:spacing w:before="60" w:after="60"/>
              <w:jc w:val="center"/>
              <w:rPr>
                <w:iCs/>
                <w:spacing w:val="-4"/>
                <w:sz w:val="28"/>
                <w:szCs w:val="28"/>
              </w:rPr>
            </w:pPr>
          </w:p>
        </w:tc>
        <w:tc>
          <w:tcPr>
            <w:tcW w:w="4677" w:type="dxa"/>
          </w:tcPr>
          <w:p w:rsidR="004F0524" w:rsidRDefault="004F0524" w:rsidP="00DF5C96">
            <w:pPr>
              <w:widowControl w:val="0"/>
              <w:spacing w:before="60" w:after="60"/>
              <w:jc w:val="both"/>
              <w:rPr>
                <w:iCs/>
                <w:spacing w:val="-4"/>
                <w:sz w:val="28"/>
                <w:szCs w:val="28"/>
              </w:rPr>
            </w:pPr>
            <w:r>
              <w:rPr>
                <w:iCs/>
                <w:spacing w:val="-4"/>
                <w:sz w:val="28"/>
                <w:szCs w:val="28"/>
              </w:rPr>
              <w:t>Đất sản xuất, kinh doanh</w:t>
            </w:r>
          </w:p>
        </w:tc>
        <w:tc>
          <w:tcPr>
            <w:tcW w:w="3680" w:type="dxa"/>
            <w:vAlign w:val="center"/>
          </w:tcPr>
          <w:p w:rsidR="004F0524" w:rsidRDefault="004F0524" w:rsidP="00DF5C96">
            <w:pPr>
              <w:widowControl w:val="0"/>
              <w:spacing w:before="60" w:after="60"/>
              <w:jc w:val="center"/>
              <w:rPr>
                <w:iCs/>
                <w:spacing w:val="-4"/>
                <w:sz w:val="28"/>
                <w:szCs w:val="28"/>
              </w:rPr>
            </w:pPr>
            <w:r>
              <w:rPr>
                <w:iCs/>
                <w:spacing w:val="-4"/>
                <w:sz w:val="28"/>
                <w:szCs w:val="28"/>
              </w:rPr>
              <w:t>0,75%</w:t>
            </w:r>
          </w:p>
        </w:tc>
      </w:tr>
      <w:tr w:rsidR="004F0524" w:rsidTr="00945A87">
        <w:tc>
          <w:tcPr>
            <w:tcW w:w="704" w:type="dxa"/>
            <w:vAlign w:val="center"/>
          </w:tcPr>
          <w:p w:rsidR="004F0524" w:rsidRDefault="004F0524" w:rsidP="00DF5C96">
            <w:pPr>
              <w:widowControl w:val="0"/>
              <w:spacing w:before="60" w:after="60"/>
              <w:jc w:val="center"/>
              <w:rPr>
                <w:iCs/>
                <w:spacing w:val="-4"/>
                <w:sz w:val="28"/>
                <w:szCs w:val="28"/>
              </w:rPr>
            </w:pPr>
          </w:p>
        </w:tc>
        <w:tc>
          <w:tcPr>
            <w:tcW w:w="4677" w:type="dxa"/>
          </w:tcPr>
          <w:p w:rsidR="004F0524" w:rsidRDefault="004F0524" w:rsidP="00DF5C96">
            <w:pPr>
              <w:widowControl w:val="0"/>
              <w:spacing w:before="60" w:after="60"/>
              <w:jc w:val="both"/>
              <w:rPr>
                <w:iCs/>
                <w:spacing w:val="-4"/>
                <w:sz w:val="28"/>
                <w:szCs w:val="28"/>
              </w:rPr>
            </w:pPr>
            <w:r>
              <w:rPr>
                <w:iCs/>
                <w:spacing w:val="-4"/>
                <w:sz w:val="28"/>
                <w:szCs w:val="28"/>
              </w:rPr>
              <w:t>Đất nông nghiệp</w:t>
            </w:r>
          </w:p>
        </w:tc>
        <w:tc>
          <w:tcPr>
            <w:tcW w:w="3680" w:type="dxa"/>
            <w:vAlign w:val="center"/>
          </w:tcPr>
          <w:p w:rsidR="004F0524" w:rsidRDefault="004F0524" w:rsidP="00DF5C96">
            <w:pPr>
              <w:widowControl w:val="0"/>
              <w:spacing w:before="60" w:after="60"/>
              <w:jc w:val="center"/>
              <w:rPr>
                <w:iCs/>
                <w:spacing w:val="-4"/>
                <w:sz w:val="28"/>
                <w:szCs w:val="28"/>
              </w:rPr>
            </w:pPr>
            <w:r>
              <w:rPr>
                <w:iCs/>
                <w:spacing w:val="-4"/>
                <w:sz w:val="28"/>
                <w:szCs w:val="28"/>
              </w:rPr>
              <w:t>0,5%</w:t>
            </w:r>
          </w:p>
        </w:tc>
      </w:tr>
    </w:tbl>
    <w:p w:rsidR="005A2299" w:rsidRPr="005A2299" w:rsidRDefault="00945A87" w:rsidP="005A2299">
      <w:pPr>
        <w:spacing w:before="120" w:after="120"/>
        <w:ind w:firstLine="567"/>
        <w:jc w:val="both"/>
        <w:rPr>
          <w:b/>
          <w:sz w:val="28"/>
          <w:szCs w:val="28"/>
        </w:rPr>
      </w:pPr>
      <w:r w:rsidRPr="005A2299">
        <w:rPr>
          <w:b/>
          <w:sz w:val="28"/>
          <w:szCs w:val="28"/>
        </w:rPr>
        <w:t>Điều 3. Đơn giá thuê đất đối với đất được Nhà nước cho thuê để xây dựng công trình ngầm (không phải là phần ngầm của công trình xây dựng trên mặt đất)</w:t>
      </w:r>
    </w:p>
    <w:p w:rsidR="005A2299" w:rsidRDefault="00EB0CB4" w:rsidP="005A2299">
      <w:pPr>
        <w:spacing w:after="120"/>
        <w:ind w:firstLine="567"/>
        <w:jc w:val="both"/>
        <w:rPr>
          <w:sz w:val="28"/>
          <w:szCs w:val="28"/>
        </w:rPr>
      </w:pPr>
      <w:r w:rsidRPr="005A2299">
        <w:rPr>
          <w:sz w:val="28"/>
          <w:szCs w:val="28"/>
        </w:rPr>
        <w:t>1.</w:t>
      </w:r>
      <w:r w:rsidR="004F0524" w:rsidRPr="005A2299">
        <w:rPr>
          <w:sz w:val="28"/>
          <w:szCs w:val="28"/>
        </w:rPr>
        <w:t xml:space="preserve"> Đơn giá thuê đất đối với đất xây dựng công trình trên mặt đất phục vụ cho việc vận hành, khai thác sử dụng công trình ngầm quy định tại điểm b khoản 5 Điều 216 Luật Đất đai được tính theo quy định tại khoản 1 Điều 26 Nghị định số 103/2024/NĐ-CP ngày 30 tháng 7 năm 2024 của Chính phủ quy định về tiền sử dụng đất, tiền thuê đất (được sửa đổi, bổ sung tại khoản 13 Điều 13 Nghị định số 50/2026/NĐ-CP ngày 31 tháng 01 năm 2026 của Chính phủ)</w:t>
      </w:r>
      <w:r w:rsidR="005A2299">
        <w:rPr>
          <w:sz w:val="28"/>
          <w:szCs w:val="28"/>
        </w:rPr>
        <w:t>.</w:t>
      </w:r>
    </w:p>
    <w:p w:rsidR="005A2299" w:rsidRDefault="00EB0CB4" w:rsidP="005A2299">
      <w:pPr>
        <w:spacing w:after="120"/>
        <w:ind w:firstLine="567"/>
        <w:jc w:val="both"/>
        <w:rPr>
          <w:sz w:val="28"/>
          <w:szCs w:val="28"/>
        </w:rPr>
      </w:pPr>
      <w:r w:rsidRPr="005A2299">
        <w:rPr>
          <w:sz w:val="28"/>
          <w:szCs w:val="28"/>
        </w:rPr>
        <w:t>2.</w:t>
      </w:r>
      <w:r w:rsidR="004F0524" w:rsidRPr="005A2299">
        <w:rPr>
          <w:sz w:val="28"/>
          <w:szCs w:val="28"/>
        </w:rPr>
        <w:t xml:space="preserve"> </w:t>
      </w:r>
      <w:bookmarkStart w:id="3" w:name="_Hlk177825511"/>
      <w:bookmarkStart w:id="4" w:name="_Hlk177741084"/>
      <w:bookmarkStart w:id="5" w:name="OLE_LINK37"/>
      <w:r w:rsidR="004F0524" w:rsidRPr="005A2299">
        <w:rPr>
          <w:sz w:val="28"/>
          <w:szCs w:val="28"/>
        </w:rPr>
        <w:t>Đơn giá thuê đất đối với đất được Nhà nước cho thuê để xây dựng công trình ngầm</w:t>
      </w:r>
      <w:bookmarkEnd w:id="3"/>
      <w:r w:rsidR="004F0524" w:rsidRPr="005A2299">
        <w:rPr>
          <w:sz w:val="28"/>
          <w:szCs w:val="28"/>
        </w:rPr>
        <w:t xml:space="preserve"> (không phải là phần ngầm của công trình xây dựng trên mặt đất)</w:t>
      </w:r>
      <w:bookmarkEnd w:id="4"/>
      <w:r w:rsidR="004F0524" w:rsidRPr="005A2299">
        <w:rPr>
          <w:sz w:val="28"/>
          <w:szCs w:val="28"/>
        </w:rPr>
        <w:t xml:space="preserve"> theo quy định tại khoản 1 Điều 120 Luật Đất đai, được tính như sau:</w:t>
      </w:r>
    </w:p>
    <w:p w:rsidR="005A2299" w:rsidRDefault="00EB0CB4" w:rsidP="005A2299">
      <w:pPr>
        <w:spacing w:after="120"/>
        <w:ind w:firstLine="567"/>
        <w:jc w:val="both"/>
        <w:rPr>
          <w:sz w:val="28"/>
          <w:szCs w:val="28"/>
        </w:rPr>
      </w:pPr>
      <w:r w:rsidRPr="005A2299">
        <w:rPr>
          <w:sz w:val="28"/>
          <w:szCs w:val="28"/>
        </w:rPr>
        <w:t>a)</w:t>
      </w:r>
      <w:r w:rsidR="004F0524" w:rsidRPr="005A2299">
        <w:rPr>
          <w:sz w:val="28"/>
          <w:szCs w:val="28"/>
        </w:rPr>
        <w:t xml:space="preserve">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sidR="005A2299" w:rsidRDefault="00EB0CB4" w:rsidP="005A2299">
      <w:pPr>
        <w:spacing w:after="120"/>
        <w:ind w:firstLine="567"/>
        <w:jc w:val="both"/>
        <w:rPr>
          <w:sz w:val="28"/>
          <w:szCs w:val="28"/>
        </w:rPr>
      </w:pPr>
      <w:r w:rsidRPr="005A2299">
        <w:rPr>
          <w:sz w:val="28"/>
          <w:szCs w:val="28"/>
        </w:rPr>
        <w:t>b)</w:t>
      </w:r>
      <w:r w:rsidR="004F0524" w:rsidRPr="005A2299">
        <w:rPr>
          <w:sz w:val="28"/>
          <w:szCs w:val="28"/>
        </w:rPr>
        <w:t xml:space="preserve">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sidR="005A2299" w:rsidRDefault="00EB0CB4" w:rsidP="005A2299">
      <w:pPr>
        <w:spacing w:after="120"/>
        <w:ind w:firstLine="567"/>
        <w:jc w:val="both"/>
        <w:rPr>
          <w:sz w:val="28"/>
          <w:szCs w:val="28"/>
        </w:rPr>
      </w:pPr>
      <w:r w:rsidRPr="005A2299">
        <w:rPr>
          <w:sz w:val="28"/>
          <w:szCs w:val="28"/>
        </w:rPr>
        <w:t>3.</w:t>
      </w:r>
      <w:r w:rsidR="004F0524" w:rsidRPr="005A2299">
        <w:rPr>
          <w:sz w:val="28"/>
          <w:szCs w:val="28"/>
        </w:rPr>
        <w:t xml:space="preserve">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2 Điều này.</w:t>
      </w:r>
      <w:bookmarkEnd w:id="5"/>
    </w:p>
    <w:p w:rsidR="005A2299" w:rsidRPr="005A2299" w:rsidRDefault="00D2260A" w:rsidP="005A2299">
      <w:pPr>
        <w:spacing w:after="120"/>
        <w:ind w:firstLine="567"/>
        <w:jc w:val="both"/>
        <w:rPr>
          <w:b/>
          <w:sz w:val="28"/>
          <w:szCs w:val="28"/>
        </w:rPr>
      </w:pPr>
      <w:r w:rsidRPr="005A2299">
        <w:rPr>
          <w:b/>
          <w:sz w:val="28"/>
          <w:szCs w:val="28"/>
        </w:rPr>
        <w:t>Điều 4. Đơn giá thuê đất đối với phần diện tích đất có mặt nước</w:t>
      </w:r>
    </w:p>
    <w:p w:rsidR="005A2299" w:rsidRDefault="00911970" w:rsidP="005A2299">
      <w:pPr>
        <w:spacing w:after="120"/>
        <w:ind w:firstLine="567"/>
        <w:jc w:val="both"/>
        <w:rPr>
          <w:sz w:val="28"/>
          <w:szCs w:val="28"/>
        </w:rPr>
      </w:pPr>
      <w:r w:rsidRPr="005A2299">
        <w:rPr>
          <w:sz w:val="28"/>
          <w:szCs w:val="28"/>
        </w:rPr>
        <w:t>1.</w:t>
      </w:r>
      <w:r w:rsidR="004F0524" w:rsidRPr="005A2299">
        <w:rPr>
          <w:sz w:val="28"/>
          <w:szCs w:val="28"/>
        </w:rPr>
        <w:t xml:space="preserve"> Đối với phần diện tích đất không có mặt nước, đơn giá thuê đất trả tiền thuê đất hằng năm, đơn giá thuê đất trả tiền thuê đất một lần cho cả thời gian thuê được tính theo quy định tại Điều 26 Nghị định số 103/2024/NĐ-CP (được sửa đổi, bổ sung tại khoản 13 Điều 13 Nghị định số 50/2026/NĐ-CP ngày 31 tháng 01 năm 2026 của Chính phủ).</w:t>
      </w:r>
    </w:p>
    <w:p w:rsidR="005A2299" w:rsidRPr="00A2785A" w:rsidRDefault="00911970" w:rsidP="005A2299">
      <w:pPr>
        <w:spacing w:after="120"/>
        <w:ind w:firstLine="567"/>
        <w:jc w:val="both"/>
        <w:rPr>
          <w:sz w:val="28"/>
          <w:szCs w:val="28"/>
        </w:rPr>
      </w:pPr>
      <w:r w:rsidRPr="005A2299">
        <w:rPr>
          <w:sz w:val="28"/>
          <w:szCs w:val="28"/>
        </w:rPr>
        <w:t>2.</w:t>
      </w:r>
      <w:r w:rsidR="004F0524" w:rsidRPr="005A2299">
        <w:rPr>
          <w:sz w:val="28"/>
          <w:szCs w:val="28"/>
        </w:rPr>
        <w:t xml:space="preserve"> Đối với phần diện tích đất có mặt nước, đơn giá thuê đất trả tiền thuê đất hằng năm, đơn giá thuê đất trả tiền thuê đất một lần cho cả thời gian thuê được tính bằng 20% của đơn giá thuê đất hằng năm hoặc đơn giá thuê đất trả tiền một lần cho cả thời gian thuê của loại đất có vị trí liền kề với giả định có cùng mục </w:t>
      </w:r>
      <w:r w:rsidR="004F0524" w:rsidRPr="00A2785A">
        <w:rPr>
          <w:sz w:val="28"/>
          <w:szCs w:val="28"/>
        </w:rPr>
        <w:t>đích sử dụng đất và thời hạn sử dụng đất với phần diện tích đất có mặt nước.</w:t>
      </w:r>
    </w:p>
    <w:p w:rsidR="005A2299" w:rsidRPr="00A2785A" w:rsidRDefault="00D2260A" w:rsidP="005A2299">
      <w:pPr>
        <w:spacing w:after="120"/>
        <w:ind w:firstLine="567"/>
        <w:jc w:val="both"/>
        <w:rPr>
          <w:b/>
          <w:sz w:val="28"/>
          <w:szCs w:val="28"/>
        </w:rPr>
      </w:pPr>
      <w:r w:rsidRPr="00A2785A">
        <w:rPr>
          <w:b/>
          <w:sz w:val="28"/>
          <w:szCs w:val="28"/>
        </w:rPr>
        <w:t>Điều 5. Tổ chức thực hiện</w:t>
      </w:r>
    </w:p>
    <w:p w:rsidR="000537E1" w:rsidRDefault="00E02C31" w:rsidP="000537E1">
      <w:pPr>
        <w:spacing w:after="120"/>
        <w:ind w:firstLine="567"/>
        <w:jc w:val="both"/>
        <w:rPr>
          <w:sz w:val="28"/>
          <w:szCs w:val="28"/>
        </w:rPr>
      </w:pPr>
      <w:r w:rsidRPr="005A2299">
        <w:rPr>
          <w:sz w:val="28"/>
          <w:szCs w:val="28"/>
        </w:rPr>
        <w:t xml:space="preserve">1. Sở </w:t>
      </w:r>
      <w:r w:rsidR="005A2299">
        <w:rPr>
          <w:sz w:val="28"/>
          <w:szCs w:val="28"/>
        </w:rPr>
        <w:t>Nông nghiệp</w:t>
      </w:r>
      <w:r w:rsidRPr="005A2299">
        <w:rPr>
          <w:sz w:val="28"/>
          <w:szCs w:val="28"/>
        </w:rPr>
        <w:t xml:space="preserve"> và Môi trường</w:t>
      </w:r>
    </w:p>
    <w:p w:rsidR="000537E1" w:rsidRDefault="00E02C31" w:rsidP="000537E1">
      <w:pPr>
        <w:spacing w:after="120"/>
        <w:ind w:firstLine="567"/>
        <w:jc w:val="both"/>
        <w:rPr>
          <w:sz w:val="28"/>
          <w:szCs w:val="28"/>
        </w:rPr>
      </w:pPr>
      <w:r w:rsidRPr="005A2299">
        <w:rPr>
          <w:sz w:val="28"/>
          <w:szCs w:val="28"/>
        </w:rPr>
        <w:lastRenderedPageBreak/>
        <w:t>a) Xác định thông tin địa chính của thửa đất hoặc khu đất làm căn cứ xác định tiền thuê đất theo quy định.</w:t>
      </w:r>
    </w:p>
    <w:p w:rsidR="000537E1" w:rsidRDefault="00E02C31" w:rsidP="000537E1">
      <w:pPr>
        <w:spacing w:after="120"/>
        <w:ind w:firstLine="567"/>
        <w:jc w:val="both"/>
        <w:rPr>
          <w:sz w:val="28"/>
          <w:szCs w:val="28"/>
        </w:rPr>
      </w:pPr>
      <w:r w:rsidRPr="005A2299">
        <w:rPr>
          <w:sz w:val="28"/>
          <w:szCs w:val="28"/>
        </w:rPr>
        <w:t xml:space="preserve">b) Chủ trì, phối hợp với các cơ quan, đơn vị có liên quan căn cứ trình tự, thủ tục cho thuê đất, công nhận quyền sử dụng đất, gia hạn sử dụng đất, điều chỉnh thời hạn sử dụng đất, chuyển mục đích sử dụng đất, xác định giá đất tính tiền thuê đất theo quy định. </w:t>
      </w:r>
    </w:p>
    <w:p w:rsidR="000537E1" w:rsidRDefault="00E02C31" w:rsidP="000537E1">
      <w:pPr>
        <w:spacing w:after="120"/>
        <w:ind w:firstLine="567"/>
        <w:jc w:val="both"/>
        <w:rPr>
          <w:sz w:val="28"/>
          <w:szCs w:val="28"/>
        </w:rPr>
      </w:pPr>
      <w:r w:rsidRPr="005A2299">
        <w:rPr>
          <w:sz w:val="28"/>
          <w:szCs w:val="28"/>
        </w:rPr>
        <w:t xml:space="preserve">c) Tham mưu trình Chủ tịch Ủy ban nhân dân tỉnh quyết định giá đất cụ thể theo thẩm quyền làm căn cứ để tính tiền thuê đất. </w:t>
      </w:r>
    </w:p>
    <w:p w:rsidR="000537E1" w:rsidRDefault="00E02C31" w:rsidP="000537E1">
      <w:pPr>
        <w:spacing w:after="120"/>
        <w:ind w:firstLine="567"/>
        <w:jc w:val="both"/>
        <w:rPr>
          <w:sz w:val="28"/>
          <w:szCs w:val="28"/>
        </w:rPr>
      </w:pPr>
      <w:r w:rsidRPr="005A2299">
        <w:rPr>
          <w:sz w:val="28"/>
          <w:szCs w:val="28"/>
        </w:rPr>
        <w:t xml:space="preserve">d) Chủ trì, phối hợp với các cơ quan, tổ chức, đơn vị có liên quan thực hiện rà soát, tham mưu trình Ủy ban nhân dân tỉnh quyết </w:t>
      </w:r>
      <w:r w:rsidRPr="005A2299">
        <w:rPr>
          <w:rFonts w:hint="eastAsia"/>
          <w:sz w:val="28"/>
          <w:szCs w:val="28"/>
        </w:rPr>
        <w:t>đ</w:t>
      </w:r>
      <w:r w:rsidRPr="005A2299">
        <w:rPr>
          <w:sz w:val="28"/>
          <w:szCs w:val="28"/>
        </w:rPr>
        <w:t xml:space="preserve">ịnh </w:t>
      </w:r>
      <w:r w:rsidRPr="005A2299">
        <w:rPr>
          <w:rFonts w:hint="eastAsia"/>
          <w:sz w:val="28"/>
          <w:szCs w:val="28"/>
        </w:rPr>
        <w:t>đ</w:t>
      </w:r>
      <w:r w:rsidRPr="005A2299">
        <w:rPr>
          <w:sz w:val="28"/>
          <w:szCs w:val="28"/>
        </w:rPr>
        <w:t xml:space="preserve">iều chỉnh Bảng giá </w:t>
      </w:r>
      <w:r w:rsidRPr="005A2299">
        <w:rPr>
          <w:rFonts w:hint="eastAsia"/>
          <w:sz w:val="28"/>
          <w:szCs w:val="28"/>
        </w:rPr>
        <w:t>đ</w:t>
      </w:r>
      <w:r w:rsidRPr="005A2299">
        <w:rPr>
          <w:sz w:val="28"/>
          <w:szCs w:val="28"/>
        </w:rPr>
        <w:t xml:space="preserve">ất theo quy </w:t>
      </w:r>
      <w:r w:rsidRPr="005A2299">
        <w:rPr>
          <w:rFonts w:hint="eastAsia"/>
          <w:sz w:val="28"/>
          <w:szCs w:val="28"/>
        </w:rPr>
        <w:t>đ</w:t>
      </w:r>
      <w:r w:rsidRPr="005A2299">
        <w:rPr>
          <w:sz w:val="28"/>
          <w:szCs w:val="28"/>
        </w:rPr>
        <w:t xml:space="preserve">ịnh của Luật đất đai cho phù hợp với tình hình thực tế về giá </w:t>
      </w:r>
      <w:r w:rsidRPr="005A2299">
        <w:rPr>
          <w:rFonts w:hint="eastAsia"/>
          <w:sz w:val="28"/>
          <w:szCs w:val="28"/>
        </w:rPr>
        <w:t>đ</w:t>
      </w:r>
      <w:r w:rsidRPr="005A2299">
        <w:rPr>
          <w:sz w:val="28"/>
          <w:szCs w:val="28"/>
        </w:rPr>
        <w:t xml:space="preserve">ất trên địa bàn tỉnh Kiên Giang để làm cơ sở tính thu tiền thuê đất đối với trường hợp giá </w:t>
      </w:r>
      <w:r w:rsidRPr="005A2299">
        <w:rPr>
          <w:rFonts w:hint="eastAsia"/>
          <w:sz w:val="28"/>
          <w:szCs w:val="28"/>
        </w:rPr>
        <w:t>đ</w:t>
      </w:r>
      <w:r w:rsidRPr="005A2299">
        <w:rPr>
          <w:sz w:val="28"/>
          <w:szCs w:val="28"/>
        </w:rPr>
        <w:t xml:space="preserve">ất tính tiền thuê đất là giá </w:t>
      </w:r>
      <w:r w:rsidRPr="005A2299">
        <w:rPr>
          <w:rFonts w:hint="eastAsia"/>
          <w:sz w:val="28"/>
          <w:szCs w:val="28"/>
        </w:rPr>
        <w:t>đ</w:t>
      </w:r>
      <w:r w:rsidRPr="005A2299">
        <w:rPr>
          <w:sz w:val="28"/>
          <w:szCs w:val="28"/>
        </w:rPr>
        <w:t xml:space="preserve">ất trong Bảng giá </w:t>
      </w:r>
      <w:r w:rsidRPr="005A2299">
        <w:rPr>
          <w:rFonts w:hint="eastAsia"/>
          <w:sz w:val="28"/>
          <w:szCs w:val="28"/>
        </w:rPr>
        <w:t>đ</w:t>
      </w:r>
      <w:r w:rsidRPr="005A2299">
        <w:rPr>
          <w:sz w:val="28"/>
          <w:szCs w:val="28"/>
        </w:rPr>
        <w:t>ất.</w:t>
      </w:r>
    </w:p>
    <w:p w:rsidR="000537E1" w:rsidRPr="000537E1" w:rsidRDefault="00E02C31" w:rsidP="000537E1">
      <w:pPr>
        <w:spacing w:after="120"/>
        <w:ind w:firstLine="567"/>
        <w:jc w:val="both"/>
        <w:rPr>
          <w:sz w:val="28"/>
          <w:szCs w:val="28"/>
        </w:rPr>
      </w:pPr>
      <w:r w:rsidRPr="000537E1">
        <w:rPr>
          <w:sz w:val="28"/>
          <w:szCs w:val="28"/>
        </w:rPr>
        <w:t xml:space="preserve">2. </w:t>
      </w:r>
      <w:r w:rsidR="000C0AAE">
        <w:rPr>
          <w:sz w:val="28"/>
          <w:szCs w:val="28"/>
        </w:rPr>
        <w:t>Cơ quan Thuế</w:t>
      </w:r>
    </w:p>
    <w:p w:rsidR="000537E1" w:rsidRDefault="00E02C31" w:rsidP="000537E1">
      <w:pPr>
        <w:spacing w:after="120"/>
        <w:ind w:firstLine="567"/>
        <w:jc w:val="both"/>
        <w:rPr>
          <w:b/>
          <w:sz w:val="28"/>
          <w:szCs w:val="28"/>
        </w:rPr>
      </w:pPr>
      <w:r w:rsidRPr="005A2299">
        <w:rPr>
          <w:sz w:val="28"/>
          <w:szCs w:val="28"/>
        </w:rPr>
        <w:t xml:space="preserve">Căn cứ giá đất cụ thể do Chủ tịch Ủy ban nhân dân cấp có thẩm quyền quyết định, giá đất tại Bảng giá đất, mức tỷ lệ phần trăm (%) để tính đơn giá thuê đất, mức đơn giá thuê đất đối với công trình ngầm, mức đơn giá thuê đất có mặt nước, </w:t>
      </w:r>
      <w:r w:rsidRPr="00081805">
        <w:rPr>
          <w:sz w:val="28"/>
          <w:szCs w:val="28"/>
        </w:rPr>
        <w:t xml:space="preserve">Phiếu chuyển thông tin do cơ quan có chức năng quản lý đất đai chuyển đến, </w:t>
      </w:r>
      <w:r w:rsidR="000C0AAE" w:rsidRPr="00081805">
        <w:rPr>
          <w:sz w:val="28"/>
          <w:szCs w:val="28"/>
        </w:rPr>
        <w:t>Thuế tỉnh</w:t>
      </w:r>
      <w:r w:rsidRPr="00081805">
        <w:rPr>
          <w:sz w:val="28"/>
          <w:szCs w:val="28"/>
        </w:rPr>
        <w:t xml:space="preserve"> (đối với tổ chức, người gốc Việt Nam định cư ở nước ngoài, tổ chức có vốn đầu tư nước ngoài), </w:t>
      </w:r>
      <w:r w:rsidR="000C0AAE" w:rsidRPr="00081805">
        <w:rPr>
          <w:sz w:val="28"/>
          <w:szCs w:val="28"/>
        </w:rPr>
        <w:t>Thuế cơ sở</w:t>
      </w:r>
      <w:r w:rsidRPr="00081805">
        <w:rPr>
          <w:sz w:val="28"/>
          <w:szCs w:val="28"/>
        </w:rPr>
        <w:t xml:space="preserve"> (đối với các trường hợp còn lại) xác định đơn giá thuê đất trả tiền thuê đất hằng năm, đơn giá thuê đất trả tiền thuê đất một lần cho cả thời gian thuê.</w:t>
      </w:r>
    </w:p>
    <w:p w:rsidR="000537E1" w:rsidRDefault="00E02C31" w:rsidP="000537E1">
      <w:pPr>
        <w:spacing w:after="120"/>
        <w:ind w:firstLine="567"/>
        <w:jc w:val="both"/>
        <w:rPr>
          <w:b/>
          <w:sz w:val="28"/>
          <w:szCs w:val="28"/>
        </w:rPr>
      </w:pPr>
      <w:r w:rsidRPr="005A2299">
        <w:rPr>
          <w:sz w:val="28"/>
          <w:szCs w:val="28"/>
        </w:rPr>
        <w:t xml:space="preserve">3 Chủ tịch Ủy ban nhân dân các </w:t>
      </w:r>
      <w:r w:rsidR="000537E1">
        <w:rPr>
          <w:sz w:val="28"/>
          <w:szCs w:val="28"/>
        </w:rPr>
        <w:t>xã, phường, đặc khu</w:t>
      </w:r>
    </w:p>
    <w:p w:rsidR="000537E1" w:rsidRPr="00FA31B0" w:rsidRDefault="00E02C31" w:rsidP="000537E1">
      <w:pPr>
        <w:spacing w:after="120"/>
        <w:ind w:firstLine="567"/>
        <w:jc w:val="both"/>
        <w:rPr>
          <w:b/>
          <w:sz w:val="28"/>
          <w:szCs w:val="28"/>
        </w:rPr>
      </w:pPr>
      <w:r w:rsidRPr="00FA31B0">
        <w:rPr>
          <w:sz w:val="28"/>
          <w:szCs w:val="28"/>
        </w:rPr>
        <w:t xml:space="preserve">a) Quyết định giá đất cụ thể làm căn cứ để tính tiền thuê đất thuộc thẩm quyền của Ủy ban nhân dân cấp </w:t>
      </w:r>
      <w:r w:rsidR="000537E1" w:rsidRPr="00FA31B0">
        <w:rPr>
          <w:sz w:val="28"/>
          <w:szCs w:val="28"/>
        </w:rPr>
        <w:t>xã</w:t>
      </w:r>
      <w:r w:rsidRPr="00FA31B0">
        <w:rPr>
          <w:sz w:val="28"/>
          <w:szCs w:val="28"/>
        </w:rPr>
        <w:t xml:space="preserve"> theo quy định của Luật Đất đai.</w:t>
      </w:r>
    </w:p>
    <w:p w:rsidR="000537E1" w:rsidRDefault="00E02C31" w:rsidP="000537E1">
      <w:pPr>
        <w:spacing w:after="120"/>
        <w:ind w:firstLine="567"/>
        <w:jc w:val="both"/>
        <w:rPr>
          <w:b/>
          <w:sz w:val="28"/>
          <w:szCs w:val="28"/>
        </w:rPr>
      </w:pPr>
      <w:r w:rsidRPr="00FA31B0">
        <w:rPr>
          <w:sz w:val="28"/>
          <w:szCs w:val="28"/>
        </w:rPr>
        <w:t xml:space="preserve">b) Chỉ đạo Phòng </w:t>
      </w:r>
      <w:r w:rsidR="00FA31B0" w:rsidRPr="00FA31B0">
        <w:rPr>
          <w:sz w:val="28"/>
          <w:szCs w:val="28"/>
        </w:rPr>
        <w:t xml:space="preserve">Kinh tế, Thuế cơ sở </w:t>
      </w:r>
      <w:r w:rsidRPr="00FA31B0">
        <w:rPr>
          <w:sz w:val="28"/>
          <w:szCs w:val="28"/>
        </w:rPr>
        <w:t xml:space="preserve">phối hợp với các cơ quan có liên quan thực hiện việc xác định đơn </w:t>
      </w:r>
      <w:r w:rsidR="00D402B8">
        <w:rPr>
          <w:sz w:val="28"/>
          <w:szCs w:val="28"/>
        </w:rPr>
        <w:t xml:space="preserve">giá </w:t>
      </w:r>
      <w:bookmarkStart w:id="6" w:name="_GoBack"/>
      <w:bookmarkEnd w:id="6"/>
      <w:r w:rsidRPr="00FA31B0">
        <w:rPr>
          <w:sz w:val="28"/>
          <w:szCs w:val="28"/>
        </w:rPr>
        <w:t>thuê đất đối với hộ gia đình, cá nhân theo Quyết định này và các quy định của pháp luật có liên quan.</w:t>
      </w:r>
    </w:p>
    <w:p w:rsidR="000537E1" w:rsidRDefault="00E02C31" w:rsidP="000537E1">
      <w:pPr>
        <w:spacing w:after="120"/>
        <w:ind w:firstLine="567"/>
        <w:jc w:val="both"/>
        <w:rPr>
          <w:b/>
          <w:sz w:val="28"/>
          <w:szCs w:val="28"/>
        </w:rPr>
      </w:pPr>
      <w:r w:rsidRPr="005A2299">
        <w:rPr>
          <w:sz w:val="28"/>
          <w:szCs w:val="28"/>
        </w:rPr>
        <w:t>4. Sở Tài chính</w:t>
      </w:r>
    </w:p>
    <w:p w:rsidR="000537E1" w:rsidRDefault="00E02C31" w:rsidP="000537E1">
      <w:pPr>
        <w:spacing w:after="120"/>
        <w:ind w:firstLine="567"/>
        <w:jc w:val="both"/>
        <w:rPr>
          <w:b/>
          <w:sz w:val="28"/>
          <w:szCs w:val="28"/>
        </w:rPr>
      </w:pPr>
      <w:r w:rsidRPr="005A2299">
        <w:rPr>
          <w:sz w:val="28"/>
          <w:szCs w:val="28"/>
        </w:rPr>
        <w:t>a) Chủ trì, phối hợp với các cơ quan có liên quan tổ chức triển khai và kiểm tra việc thực hiện Quyết định này.</w:t>
      </w:r>
    </w:p>
    <w:p w:rsidR="000537E1" w:rsidRDefault="00E02C31" w:rsidP="000537E1">
      <w:pPr>
        <w:spacing w:after="120"/>
        <w:ind w:firstLine="567"/>
        <w:jc w:val="both"/>
        <w:rPr>
          <w:b/>
          <w:sz w:val="28"/>
          <w:szCs w:val="28"/>
        </w:rPr>
      </w:pPr>
      <w:r w:rsidRPr="005A2299">
        <w:rPr>
          <w:sz w:val="28"/>
          <w:szCs w:val="28"/>
        </w:rPr>
        <w:t>b) Tổng hợp khó khăn, vướng mắc trong quá trình triển khai thực hiện Quyết định này để tham mưu Ủy ban nhân dân tỉnh sửa đổi, bổ sung cho phù hợp.</w:t>
      </w:r>
    </w:p>
    <w:p w:rsidR="000537E1" w:rsidRPr="000537E1" w:rsidRDefault="00D2260A" w:rsidP="000537E1">
      <w:pPr>
        <w:spacing w:after="120"/>
        <w:ind w:firstLine="567"/>
        <w:jc w:val="both"/>
        <w:rPr>
          <w:b/>
          <w:sz w:val="28"/>
          <w:szCs w:val="28"/>
        </w:rPr>
      </w:pPr>
      <w:r w:rsidRPr="000537E1">
        <w:rPr>
          <w:b/>
          <w:sz w:val="28"/>
          <w:szCs w:val="28"/>
        </w:rPr>
        <w:t>Điều 6. Điều khoản thi hành</w:t>
      </w:r>
    </w:p>
    <w:p w:rsidR="005174EC" w:rsidRDefault="00E02C31" w:rsidP="005174EC">
      <w:pPr>
        <w:spacing w:after="120"/>
        <w:ind w:firstLine="567"/>
        <w:jc w:val="both"/>
        <w:rPr>
          <w:b/>
          <w:sz w:val="28"/>
          <w:szCs w:val="28"/>
        </w:rPr>
      </w:pPr>
      <w:r w:rsidRPr="005A2299">
        <w:rPr>
          <w:sz w:val="28"/>
          <w:szCs w:val="28"/>
          <w:lang w:val="vi-VN"/>
        </w:rPr>
        <w:t>Chánh Văn phòng Ủy ban nhân dân tỉnh</w:t>
      </w:r>
      <w:r w:rsidRPr="005A2299">
        <w:rPr>
          <w:sz w:val="28"/>
          <w:szCs w:val="28"/>
        </w:rPr>
        <w:t>;</w:t>
      </w:r>
      <w:r w:rsidRPr="005A2299">
        <w:rPr>
          <w:sz w:val="28"/>
          <w:szCs w:val="28"/>
          <w:lang w:val="vi-VN"/>
        </w:rPr>
        <w:t xml:space="preserve"> </w:t>
      </w:r>
      <w:r w:rsidRPr="005A2299">
        <w:rPr>
          <w:sz w:val="28"/>
          <w:szCs w:val="28"/>
        </w:rPr>
        <w:t xml:space="preserve">Giám đốc (Thủ trưởng) các sở, ban, ngành tỉnh; </w:t>
      </w:r>
      <w:r w:rsidRPr="005A2299">
        <w:rPr>
          <w:sz w:val="28"/>
          <w:szCs w:val="28"/>
          <w:lang w:val="vi-VN"/>
        </w:rPr>
        <w:t>Chủ tịch Ủy ban nhân dân các huyện</w:t>
      </w:r>
      <w:r w:rsidRPr="005A2299">
        <w:rPr>
          <w:sz w:val="28"/>
          <w:szCs w:val="28"/>
        </w:rPr>
        <w:t xml:space="preserve">, </w:t>
      </w:r>
      <w:r w:rsidRPr="005A2299">
        <w:rPr>
          <w:sz w:val="28"/>
          <w:szCs w:val="28"/>
          <w:lang w:val="vi-VN"/>
        </w:rPr>
        <w:t>thành phố</w:t>
      </w:r>
      <w:r w:rsidRPr="005A2299">
        <w:rPr>
          <w:sz w:val="28"/>
          <w:szCs w:val="28"/>
        </w:rPr>
        <w:t xml:space="preserve"> và </w:t>
      </w:r>
      <w:r w:rsidRPr="005A2299">
        <w:rPr>
          <w:sz w:val="28"/>
          <w:szCs w:val="28"/>
          <w:lang w:val="vi-VN"/>
        </w:rPr>
        <w:t>các</w:t>
      </w:r>
      <w:r w:rsidRPr="005A2299">
        <w:rPr>
          <w:sz w:val="28"/>
          <w:szCs w:val="28"/>
        </w:rPr>
        <w:t xml:space="preserve"> tổ chức,</w:t>
      </w:r>
      <w:r w:rsidRPr="005A2299">
        <w:rPr>
          <w:sz w:val="28"/>
          <w:szCs w:val="28"/>
          <w:lang w:val="vi-VN"/>
        </w:rPr>
        <w:t xml:space="preserve"> hộ gia đình, cá nhân có liên quan chịu trách nhiệm thi hành Quyết định này</w:t>
      </w:r>
      <w:r w:rsidRPr="005A2299">
        <w:rPr>
          <w:sz w:val="28"/>
          <w:szCs w:val="28"/>
        </w:rPr>
        <w:t>.</w:t>
      </w:r>
    </w:p>
    <w:p w:rsidR="00F857E7" w:rsidRPr="005174EC" w:rsidRDefault="00E02C31" w:rsidP="005174EC">
      <w:pPr>
        <w:spacing w:after="120"/>
        <w:ind w:firstLine="567"/>
        <w:jc w:val="both"/>
        <w:rPr>
          <w:b/>
          <w:sz w:val="28"/>
          <w:szCs w:val="28"/>
        </w:rPr>
      </w:pPr>
      <w:r w:rsidRPr="005A2299">
        <w:rPr>
          <w:sz w:val="28"/>
          <w:szCs w:val="28"/>
          <w:lang w:val="vi-VN"/>
        </w:rPr>
        <w:t xml:space="preserve">Quyết định </w:t>
      </w:r>
      <w:r w:rsidRPr="005A2299">
        <w:rPr>
          <w:sz w:val="28"/>
          <w:szCs w:val="28"/>
        </w:rPr>
        <w:t xml:space="preserve">này </w:t>
      </w:r>
      <w:r w:rsidRPr="005A2299">
        <w:rPr>
          <w:sz w:val="28"/>
          <w:szCs w:val="28"/>
          <w:lang w:val="vi-VN"/>
        </w:rPr>
        <w:t xml:space="preserve">có hiệu lực </w:t>
      </w:r>
      <w:r w:rsidRPr="005A2299">
        <w:rPr>
          <w:sz w:val="28"/>
          <w:szCs w:val="28"/>
        </w:rPr>
        <w:t>kể từ ngày     tháng     năm 202</w:t>
      </w:r>
      <w:r w:rsidR="00C25991">
        <w:rPr>
          <w:sz w:val="28"/>
          <w:szCs w:val="28"/>
        </w:rPr>
        <w:t>6</w:t>
      </w:r>
      <w:r w:rsidRPr="005A2299">
        <w:rPr>
          <w:sz w:val="28"/>
          <w:szCs w:val="28"/>
        </w:rPr>
        <w:t xml:space="preserve"> và </w:t>
      </w:r>
      <w:r w:rsidRPr="005A2299">
        <w:rPr>
          <w:sz w:val="28"/>
          <w:szCs w:val="28"/>
          <w:lang w:val="nl-NL"/>
        </w:rPr>
        <w:t xml:space="preserve">thay thế </w:t>
      </w:r>
      <w:r w:rsidR="00C25991" w:rsidRPr="002C2D10">
        <w:rPr>
          <w:sz w:val="28"/>
          <w:szCs w:val="28"/>
        </w:rPr>
        <w:t xml:space="preserve">Quyết định số 02/2025/QĐ-UBND ngày 14 tháng 01 năm 2025 </w:t>
      </w:r>
      <w:r w:rsidR="00C25991">
        <w:rPr>
          <w:sz w:val="28"/>
          <w:szCs w:val="28"/>
        </w:rPr>
        <w:t xml:space="preserve">của </w:t>
      </w:r>
      <w:r w:rsidR="00C25991" w:rsidRPr="002C2D10">
        <w:rPr>
          <w:sz w:val="28"/>
          <w:szCs w:val="28"/>
        </w:rPr>
        <w:t xml:space="preserve">Ủy ban nhân dân tỉnh Kiên Giang (trước hợp nhất) quy định mức tỷ lệ (%) cụ thể để xác định </w:t>
      </w:r>
      <w:r w:rsidR="00C25991" w:rsidRPr="002C2D10">
        <w:rPr>
          <w:sz w:val="28"/>
          <w:szCs w:val="28"/>
        </w:rPr>
        <w:lastRenderedPageBreak/>
        <w:t>đơn giá thuê đất; mức tỷ lệ (%) để tính tiền thuê đối với đất xây dựng công trình ngầm, công trình ngầm nằm ngoài phần không gian sử dụng đất đã xác định cho người sử dụng đất, đất có mặt nước trên địa bàn tỉnh Kiên Giang</w:t>
      </w:r>
      <w:r w:rsidRPr="005A2299">
        <w:rPr>
          <w:sz w:val="28"/>
          <w:szCs w:val="28"/>
          <w:lang w:val="vi-VN"/>
        </w:rPr>
        <w:t>./.</w:t>
      </w:r>
    </w:p>
    <w:p w:rsidR="00BB1AD7" w:rsidRPr="005A2299" w:rsidRDefault="00BB1AD7" w:rsidP="00E02C31">
      <w:pPr>
        <w:jc w:val="both"/>
        <w:rPr>
          <w:sz w:val="28"/>
          <w:szCs w:val="28"/>
        </w:rPr>
      </w:pPr>
    </w:p>
    <w:tbl>
      <w:tblPr>
        <w:tblW w:w="9175" w:type="dxa"/>
        <w:tblLook w:val="04A0" w:firstRow="1" w:lastRow="0" w:firstColumn="1" w:lastColumn="0" w:noHBand="0" w:noVBand="1"/>
      </w:tblPr>
      <w:tblGrid>
        <w:gridCol w:w="4219"/>
        <w:gridCol w:w="4956"/>
      </w:tblGrid>
      <w:tr w:rsidR="00035D78" w:rsidRPr="00B57093" w:rsidTr="00035D78">
        <w:tc>
          <w:tcPr>
            <w:tcW w:w="4219" w:type="dxa"/>
          </w:tcPr>
          <w:p w:rsidR="00035D78" w:rsidRDefault="00035D78" w:rsidP="00E77B66">
            <w:pPr>
              <w:tabs>
                <w:tab w:val="center" w:pos="6480"/>
              </w:tabs>
              <w:jc w:val="both"/>
              <w:rPr>
                <w:color w:val="000000"/>
              </w:rPr>
            </w:pPr>
            <w:r w:rsidRPr="00A72FC4">
              <w:rPr>
                <w:b/>
                <w:i/>
                <w:color w:val="000000"/>
              </w:rPr>
              <w:t>Nơi nhận:</w:t>
            </w:r>
            <w:r w:rsidRPr="00A72FC4">
              <w:rPr>
                <w:color w:val="000000"/>
              </w:rPr>
              <w:t xml:space="preserve"> </w:t>
            </w:r>
          </w:p>
          <w:p w:rsidR="00035D78" w:rsidRPr="00035D78" w:rsidRDefault="00035D78" w:rsidP="00E77B66">
            <w:pPr>
              <w:tabs>
                <w:tab w:val="center" w:pos="6480"/>
              </w:tabs>
              <w:jc w:val="both"/>
              <w:rPr>
                <w:color w:val="000000"/>
                <w:sz w:val="22"/>
                <w:szCs w:val="22"/>
              </w:rPr>
            </w:pPr>
            <w:r w:rsidRPr="00035D78">
              <w:rPr>
                <w:color w:val="000000"/>
                <w:sz w:val="22"/>
                <w:szCs w:val="22"/>
              </w:rPr>
              <w:t xml:space="preserve">- Như Điều </w:t>
            </w:r>
            <w:r>
              <w:rPr>
                <w:color w:val="000000"/>
                <w:sz w:val="22"/>
                <w:szCs w:val="22"/>
              </w:rPr>
              <w:t>3</w:t>
            </w:r>
            <w:r w:rsidRPr="00035D78">
              <w:rPr>
                <w:color w:val="000000"/>
                <w:sz w:val="22"/>
                <w:szCs w:val="22"/>
              </w:rPr>
              <w:t>;</w:t>
            </w:r>
          </w:p>
          <w:p w:rsidR="00035D78" w:rsidRPr="00035D78" w:rsidRDefault="00035D78" w:rsidP="00E77B66">
            <w:pPr>
              <w:tabs>
                <w:tab w:val="center" w:pos="6480"/>
              </w:tabs>
              <w:jc w:val="both"/>
              <w:rPr>
                <w:color w:val="000000"/>
                <w:sz w:val="22"/>
                <w:szCs w:val="22"/>
              </w:rPr>
            </w:pPr>
            <w:r w:rsidRPr="00035D78">
              <w:rPr>
                <w:color w:val="000000"/>
                <w:sz w:val="22"/>
                <w:szCs w:val="22"/>
              </w:rPr>
              <w:t>- Văn phòng Chính phủ;</w:t>
            </w:r>
          </w:p>
          <w:p w:rsidR="00035D78" w:rsidRPr="00035D78" w:rsidRDefault="00035D78" w:rsidP="00E77B66">
            <w:pPr>
              <w:tabs>
                <w:tab w:val="center" w:pos="6480"/>
              </w:tabs>
              <w:jc w:val="both"/>
              <w:rPr>
                <w:color w:val="000000"/>
                <w:sz w:val="22"/>
                <w:szCs w:val="22"/>
              </w:rPr>
            </w:pPr>
            <w:r w:rsidRPr="00035D78">
              <w:rPr>
                <w:color w:val="000000"/>
                <w:sz w:val="22"/>
                <w:szCs w:val="22"/>
              </w:rPr>
              <w:t>- Bộ Tài chính;</w:t>
            </w:r>
          </w:p>
          <w:p w:rsidR="00035D78" w:rsidRPr="00035D78" w:rsidRDefault="00035D78" w:rsidP="00E77B66">
            <w:pPr>
              <w:tabs>
                <w:tab w:val="center" w:pos="6480"/>
              </w:tabs>
              <w:jc w:val="both"/>
              <w:rPr>
                <w:color w:val="000000"/>
                <w:sz w:val="22"/>
                <w:szCs w:val="22"/>
              </w:rPr>
            </w:pPr>
            <w:r w:rsidRPr="00035D78">
              <w:rPr>
                <w:color w:val="000000"/>
                <w:sz w:val="22"/>
                <w:szCs w:val="22"/>
              </w:rPr>
              <w:t>- Cục Kiểm tra văn bản và Quản lý xử lý vi phạm hành chính - Bộ Tư pháp;</w:t>
            </w:r>
          </w:p>
          <w:p w:rsidR="00035D78" w:rsidRPr="00035D78" w:rsidRDefault="00035D78" w:rsidP="00E77B66">
            <w:pPr>
              <w:tabs>
                <w:tab w:val="center" w:pos="6480"/>
              </w:tabs>
              <w:jc w:val="both"/>
              <w:rPr>
                <w:color w:val="000000"/>
                <w:sz w:val="22"/>
                <w:szCs w:val="22"/>
              </w:rPr>
            </w:pPr>
            <w:r w:rsidRPr="00035D78">
              <w:rPr>
                <w:color w:val="000000"/>
                <w:sz w:val="22"/>
                <w:szCs w:val="22"/>
              </w:rPr>
              <w:t>- Thường trực Tỉnh ủy;</w:t>
            </w:r>
          </w:p>
          <w:p w:rsidR="00035D78" w:rsidRPr="00035D78" w:rsidRDefault="00035D78" w:rsidP="00E77B66">
            <w:pPr>
              <w:tabs>
                <w:tab w:val="center" w:pos="6480"/>
              </w:tabs>
              <w:jc w:val="both"/>
              <w:rPr>
                <w:color w:val="000000"/>
                <w:sz w:val="22"/>
                <w:szCs w:val="22"/>
              </w:rPr>
            </w:pPr>
            <w:r w:rsidRPr="00035D78">
              <w:rPr>
                <w:color w:val="000000"/>
                <w:sz w:val="22"/>
                <w:szCs w:val="22"/>
              </w:rPr>
              <w:t>- Thường trực HĐND tỉnh;</w:t>
            </w:r>
          </w:p>
          <w:p w:rsidR="00035D78" w:rsidRPr="00035D78" w:rsidRDefault="00035D78" w:rsidP="00E77B66">
            <w:pPr>
              <w:tabs>
                <w:tab w:val="center" w:pos="6480"/>
              </w:tabs>
              <w:jc w:val="both"/>
              <w:rPr>
                <w:color w:val="000000"/>
                <w:sz w:val="22"/>
                <w:szCs w:val="22"/>
              </w:rPr>
            </w:pPr>
            <w:r w:rsidRPr="00035D78">
              <w:rPr>
                <w:color w:val="000000"/>
                <w:sz w:val="22"/>
                <w:szCs w:val="22"/>
              </w:rPr>
              <w:t>- Đoàn Đại biểu Quốc hội tỉnh;</w:t>
            </w:r>
          </w:p>
          <w:p w:rsidR="00035D78" w:rsidRPr="00035D78" w:rsidRDefault="00035D78" w:rsidP="00E77B66">
            <w:pPr>
              <w:tabs>
                <w:tab w:val="center" w:pos="6480"/>
              </w:tabs>
              <w:jc w:val="both"/>
              <w:rPr>
                <w:color w:val="000000"/>
                <w:sz w:val="22"/>
                <w:szCs w:val="22"/>
              </w:rPr>
            </w:pPr>
            <w:r w:rsidRPr="00035D78">
              <w:rPr>
                <w:color w:val="000000"/>
                <w:sz w:val="22"/>
                <w:szCs w:val="22"/>
              </w:rPr>
              <w:t>- Thường trực Ủy ban MTTQVN tỉnh;</w:t>
            </w:r>
          </w:p>
          <w:p w:rsidR="00035D78" w:rsidRPr="00035D78" w:rsidRDefault="00035D78" w:rsidP="00E77B66">
            <w:pPr>
              <w:tabs>
                <w:tab w:val="center" w:pos="6480"/>
              </w:tabs>
              <w:jc w:val="both"/>
              <w:rPr>
                <w:color w:val="000000"/>
                <w:sz w:val="22"/>
                <w:szCs w:val="22"/>
              </w:rPr>
            </w:pPr>
            <w:r w:rsidRPr="00035D78">
              <w:rPr>
                <w:color w:val="000000"/>
                <w:sz w:val="22"/>
                <w:szCs w:val="22"/>
              </w:rPr>
              <w:t>- Chủ tịch, các Phó Chủ tịch UBND tỉnh;</w:t>
            </w:r>
          </w:p>
          <w:p w:rsidR="00035D78" w:rsidRPr="00035D78" w:rsidRDefault="00035D78" w:rsidP="00E77B66">
            <w:pPr>
              <w:tabs>
                <w:tab w:val="center" w:pos="6480"/>
              </w:tabs>
              <w:jc w:val="both"/>
              <w:rPr>
                <w:color w:val="000000"/>
                <w:sz w:val="22"/>
                <w:szCs w:val="22"/>
              </w:rPr>
            </w:pPr>
            <w:r w:rsidRPr="00035D78">
              <w:rPr>
                <w:color w:val="000000"/>
                <w:sz w:val="22"/>
                <w:szCs w:val="22"/>
              </w:rPr>
              <w:t>- Trung tâm Công báo - Tin học tỉnh;</w:t>
            </w:r>
          </w:p>
          <w:p w:rsidR="00035D78" w:rsidRPr="00035D78" w:rsidRDefault="00035D78" w:rsidP="00E77B66">
            <w:pPr>
              <w:tabs>
                <w:tab w:val="center" w:pos="6480"/>
              </w:tabs>
              <w:jc w:val="both"/>
              <w:rPr>
                <w:color w:val="000000"/>
                <w:sz w:val="22"/>
                <w:szCs w:val="22"/>
              </w:rPr>
            </w:pPr>
            <w:r w:rsidRPr="00035D78">
              <w:rPr>
                <w:color w:val="000000"/>
                <w:sz w:val="22"/>
                <w:szCs w:val="22"/>
              </w:rPr>
              <w:t>- Các sở, ban, ngành cấp tỉnh;</w:t>
            </w:r>
          </w:p>
          <w:p w:rsidR="00035D78" w:rsidRPr="00035D78" w:rsidRDefault="00035D78" w:rsidP="00E77B66">
            <w:pPr>
              <w:tabs>
                <w:tab w:val="center" w:pos="6480"/>
              </w:tabs>
              <w:jc w:val="both"/>
              <w:rPr>
                <w:color w:val="000000"/>
                <w:sz w:val="22"/>
                <w:szCs w:val="22"/>
              </w:rPr>
            </w:pPr>
            <w:r w:rsidRPr="00035D78">
              <w:rPr>
                <w:color w:val="000000"/>
                <w:sz w:val="22"/>
                <w:szCs w:val="22"/>
              </w:rPr>
              <w:t>- UBND các xã, phường, đặc khu;</w:t>
            </w:r>
          </w:p>
          <w:p w:rsidR="00035D78" w:rsidRPr="00035D78" w:rsidRDefault="00035D78" w:rsidP="00E77B66">
            <w:pPr>
              <w:tabs>
                <w:tab w:val="center" w:pos="6480"/>
              </w:tabs>
              <w:jc w:val="both"/>
              <w:rPr>
                <w:color w:val="000000"/>
                <w:sz w:val="22"/>
                <w:szCs w:val="22"/>
              </w:rPr>
            </w:pPr>
            <w:r w:rsidRPr="00035D78">
              <w:rPr>
                <w:color w:val="000000"/>
                <w:sz w:val="22"/>
                <w:szCs w:val="22"/>
              </w:rPr>
              <w:t>- VPUBND tỉnh: LĐVP, KT;</w:t>
            </w:r>
          </w:p>
          <w:p w:rsidR="00035D78" w:rsidRPr="00A72FC4" w:rsidRDefault="00035D78" w:rsidP="00E77B66">
            <w:pPr>
              <w:tabs>
                <w:tab w:val="center" w:pos="6480"/>
              </w:tabs>
              <w:jc w:val="both"/>
              <w:rPr>
                <w:bCs/>
                <w:color w:val="000000"/>
                <w:sz w:val="28"/>
                <w:szCs w:val="28"/>
              </w:rPr>
            </w:pPr>
            <w:r w:rsidRPr="00035D78">
              <w:rPr>
                <w:bCs/>
                <w:color w:val="000000"/>
                <w:sz w:val="22"/>
                <w:szCs w:val="22"/>
              </w:rPr>
              <w:t>- Lưu: VT</w:t>
            </w:r>
            <w:r w:rsidRPr="00A72FC4">
              <w:rPr>
                <w:bCs/>
                <w:color w:val="000000"/>
              </w:rPr>
              <w:t>.</w:t>
            </w:r>
          </w:p>
        </w:tc>
        <w:tc>
          <w:tcPr>
            <w:tcW w:w="4956" w:type="dxa"/>
          </w:tcPr>
          <w:p w:rsidR="00035D78" w:rsidRPr="005174EC" w:rsidRDefault="00035D78" w:rsidP="00E77B66">
            <w:pPr>
              <w:jc w:val="center"/>
              <w:rPr>
                <w:b/>
                <w:bCs/>
                <w:color w:val="000000"/>
                <w:sz w:val="28"/>
                <w:szCs w:val="28"/>
                <w:lang w:val="it-IT"/>
              </w:rPr>
            </w:pPr>
            <w:r w:rsidRPr="005174EC">
              <w:rPr>
                <w:b/>
                <w:bCs/>
                <w:color w:val="000000"/>
                <w:sz w:val="28"/>
                <w:szCs w:val="28"/>
                <w:lang w:val="it-IT"/>
              </w:rPr>
              <w:t>TM. ỦY BAN NHÂN DÂN</w:t>
            </w:r>
          </w:p>
          <w:p w:rsidR="00035D78" w:rsidRPr="005174EC" w:rsidRDefault="00035D78" w:rsidP="00E77B66">
            <w:pPr>
              <w:jc w:val="center"/>
              <w:rPr>
                <w:color w:val="000000"/>
                <w:sz w:val="28"/>
                <w:szCs w:val="28"/>
                <w:lang w:val="it-IT"/>
              </w:rPr>
            </w:pPr>
            <w:r w:rsidRPr="005174EC">
              <w:rPr>
                <w:b/>
                <w:bCs/>
                <w:color w:val="000000"/>
                <w:sz w:val="28"/>
                <w:szCs w:val="28"/>
                <w:lang w:val="it-IT"/>
              </w:rPr>
              <w:t>CHỦ TỊCH</w:t>
            </w:r>
          </w:p>
          <w:p w:rsidR="00035D78" w:rsidRDefault="00035D78" w:rsidP="00E77B66">
            <w:pPr>
              <w:spacing w:after="120"/>
              <w:jc w:val="both"/>
              <w:rPr>
                <w:bCs/>
                <w:color w:val="000000"/>
                <w:sz w:val="28"/>
                <w:szCs w:val="28"/>
              </w:rPr>
            </w:pPr>
          </w:p>
          <w:p w:rsidR="00035D78" w:rsidRPr="00CE1F5F" w:rsidRDefault="00035D78" w:rsidP="00E77B66">
            <w:pPr>
              <w:spacing w:after="120"/>
              <w:jc w:val="both"/>
              <w:rPr>
                <w:bCs/>
                <w:color w:val="000000"/>
                <w:sz w:val="28"/>
                <w:szCs w:val="28"/>
              </w:rPr>
            </w:pPr>
          </w:p>
        </w:tc>
      </w:tr>
    </w:tbl>
    <w:p w:rsidR="00BB1AD7" w:rsidRPr="001E78A6" w:rsidRDefault="00BB1AD7" w:rsidP="00414CED">
      <w:pPr>
        <w:spacing w:before="120" w:after="100" w:afterAutospacing="1"/>
        <w:jc w:val="both"/>
        <w:rPr>
          <w:sz w:val="28"/>
          <w:szCs w:val="28"/>
        </w:rPr>
      </w:pPr>
      <w:r w:rsidRPr="001E78A6">
        <w:rPr>
          <w:sz w:val="28"/>
          <w:szCs w:val="28"/>
        </w:rPr>
        <w:t> </w:t>
      </w:r>
    </w:p>
    <w:sectPr w:rsidR="00BB1AD7" w:rsidRPr="001E78A6" w:rsidSect="0017146B">
      <w:headerReference w:type="default" r:id="rId7"/>
      <w:pgSz w:w="11906" w:h="16838" w:code="9"/>
      <w:pgMar w:top="1134" w:right="1134" w:bottom="1134" w:left="1701" w:header="51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8DB" w:rsidRDefault="008338DB" w:rsidP="00B3333E">
      <w:r>
        <w:separator/>
      </w:r>
    </w:p>
  </w:endnote>
  <w:endnote w:type="continuationSeparator" w:id="0">
    <w:p w:rsidR="008338DB" w:rsidRDefault="008338DB" w:rsidP="00B3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8DB" w:rsidRDefault="008338DB" w:rsidP="00B3333E">
      <w:r>
        <w:separator/>
      </w:r>
    </w:p>
  </w:footnote>
  <w:footnote w:type="continuationSeparator" w:id="0">
    <w:p w:rsidR="008338DB" w:rsidRDefault="008338DB" w:rsidP="00B333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33E" w:rsidRDefault="00B3333E">
    <w:pPr>
      <w:pStyle w:val="Header"/>
      <w:jc w:val="center"/>
    </w:pPr>
    <w:r>
      <w:fldChar w:fldCharType="begin"/>
    </w:r>
    <w:r>
      <w:instrText xml:space="preserve"> PAGE   \* MERGEFORMAT </w:instrText>
    </w:r>
    <w:r>
      <w:fldChar w:fldCharType="separate"/>
    </w:r>
    <w:r w:rsidR="00D402B8">
      <w:rPr>
        <w:noProof/>
      </w:rPr>
      <w:t>5</w:t>
    </w:r>
    <w:r>
      <w:rPr>
        <w:noProof/>
      </w:rPr>
      <w:fldChar w:fldCharType="end"/>
    </w:r>
  </w:p>
  <w:p w:rsidR="00B3333E" w:rsidRDefault="00B333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A6"/>
    <w:rsid w:val="00001881"/>
    <w:rsid w:val="00001A5D"/>
    <w:rsid w:val="00032700"/>
    <w:rsid w:val="00035779"/>
    <w:rsid w:val="00035D78"/>
    <w:rsid w:val="00044398"/>
    <w:rsid w:val="000537E1"/>
    <w:rsid w:val="0005797D"/>
    <w:rsid w:val="00064B10"/>
    <w:rsid w:val="00066469"/>
    <w:rsid w:val="00071710"/>
    <w:rsid w:val="00081805"/>
    <w:rsid w:val="00081D13"/>
    <w:rsid w:val="00086CD6"/>
    <w:rsid w:val="000B3828"/>
    <w:rsid w:val="000B5251"/>
    <w:rsid w:val="000B6BFF"/>
    <w:rsid w:val="000C0AAE"/>
    <w:rsid w:val="000D5EA5"/>
    <w:rsid w:val="000F6C90"/>
    <w:rsid w:val="00102120"/>
    <w:rsid w:val="001149B9"/>
    <w:rsid w:val="00115F54"/>
    <w:rsid w:val="00123142"/>
    <w:rsid w:val="0013388C"/>
    <w:rsid w:val="00140759"/>
    <w:rsid w:val="001418AE"/>
    <w:rsid w:val="00166635"/>
    <w:rsid w:val="001710ED"/>
    <w:rsid w:val="0017146B"/>
    <w:rsid w:val="0017538A"/>
    <w:rsid w:val="00182B48"/>
    <w:rsid w:val="00184C24"/>
    <w:rsid w:val="00193170"/>
    <w:rsid w:val="001A2956"/>
    <w:rsid w:val="001B0E8D"/>
    <w:rsid w:val="001C606D"/>
    <w:rsid w:val="001E081F"/>
    <w:rsid w:val="001E3D01"/>
    <w:rsid w:val="001E78A6"/>
    <w:rsid w:val="001F0C44"/>
    <w:rsid w:val="00245A25"/>
    <w:rsid w:val="00255630"/>
    <w:rsid w:val="00255DB5"/>
    <w:rsid w:val="00260639"/>
    <w:rsid w:val="00262DF8"/>
    <w:rsid w:val="00286ADA"/>
    <w:rsid w:val="002C1235"/>
    <w:rsid w:val="002C3716"/>
    <w:rsid w:val="002D34E6"/>
    <w:rsid w:val="002D3BFE"/>
    <w:rsid w:val="002F711C"/>
    <w:rsid w:val="00301CB6"/>
    <w:rsid w:val="00321BF5"/>
    <w:rsid w:val="00356D9D"/>
    <w:rsid w:val="00362876"/>
    <w:rsid w:val="003703DC"/>
    <w:rsid w:val="00382AF1"/>
    <w:rsid w:val="003B409F"/>
    <w:rsid w:val="003C4EBB"/>
    <w:rsid w:val="003F7C59"/>
    <w:rsid w:val="00405A19"/>
    <w:rsid w:val="00414CED"/>
    <w:rsid w:val="00425A2B"/>
    <w:rsid w:val="00440599"/>
    <w:rsid w:val="00446E07"/>
    <w:rsid w:val="00463D16"/>
    <w:rsid w:val="00482628"/>
    <w:rsid w:val="00486FFB"/>
    <w:rsid w:val="004A273A"/>
    <w:rsid w:val="004B6BDB"/>
    <w:rsid w:val="004D756C"/>
    <w:rsid w:val="004F0524"/>
    <w:rsid w:val="00505ED5"/>
    <w:rsid w:val="005174EC"/>
    <w:rsid w:val="0052750C"/>
    <w:rsid w:val="00571045"/>
    <w:rsid w:val="00586650"/>
    <w:rsid w:val="00590510"/>
    <w:rsid w:val="005A2299"/>
    <w:rsid w:val="005D405F"/>
    <w:rsid w:val="005E40A6"/>
    <w:rsid w:val="005E7C80"/>
    <w:rsid w:val="006368F5"/>
    <w:rsid w:val="00640ABB"/>
    <w:rsid w:val="00642CB5"/>
    <w:rsid w:val="006826FB"/>
    <w:rsid w:val="00684453"/>
    <w:rsid w:val="00692AF5"/>
    <w:rsid w:val="00695C76"/>
    <w:rsid w:val="006A1372"/>
    <w:rsid w:val="006A32C3"/>
    <w:rsid w:val="006A5D87"/>
    <w:rsid w:val="006D1E0D"/>
    <w:rsid w:val="006F6DE9"/>
    <w:rsid w:val="00701236"/>
    <w:rsid w:val="00713B42"/>
    <w:rsid w:val="00714A30"/>
    <w:rsid w:val="00725076"/>
    <w:rsid w:val="00725DEE"/>
    <w:rsid w:val="00732B6E"/>
    <w:rsid w:val="00734E36"/>
    <w:rsid w:val="00735668"/>
    <w:rsid w:val="0076015B"/>
    <w:rsid w:val="00777E9F"/>
    <w:rsid w:val="007849C2"/>
    <w:rsid w:val="007A1407"/>
    <w:rsid w:val="007A14E7"/>
    <w:rsid w:val="007B0FFC"/>
    <w:rsid w:val="007B3582"/>
    <w:rsid w:val="007D553F"/>
    <w:rsid w:val="007E319E"/>
    <w:rsid w:val="00801038"/>
    <w:rsid w:val="008045AE"/>
    <w:rsid w:val="008102A9"/>
    <w:rsid w:val="0081741B"/>
    <w:rsid w:val="0082021E"/>
    <w:rsid w:val="008305F4"/>
    <w:rsid w:val="008335C7"/>
    <w:rsid w:val="008338DB"/>
    <w:rsid w:val="008500B3"/>
    <w:rsid w:val="008529C7"/>
    <w:rsid w:val="00864852"/>
    <w:rsid w:val="008742A1"/>
    <w:rsid w:val="008812B8"/>
    <w:rsid w:val="00885126"/>
    <w:rsid w:val="00895414"/>
    <w:rsid w:val="008C3B89"/>
    <w:rsid w:val="008C60D9"/>
    <w:rsid w:val="008D2DDD"/>
    <w:rsid w:val="008D313E"/>
    <w:rsid w:val="008E5D42"/>
    <w:rsid w:val="00911970"/>
    <w:rsid w:val="00945544"/>
    <w:rsid w:val="00945A87"/>
    <w:rsid w:val="00960C98"/>
    <w:rsid w:val="00975D6E"/>
    <w:rsid w:val="00985070"/>
    <w:rsid w:val="0099752A"/>
    <w:rsid w:val="009A1F89"/>
    <w:rsid w:val="009C2A21"/>
    <w:rsid w:val="009E060B"/>
    <w:rsid w:val="009F0067"/>
    <w:rsid w:val="00A061C3"/>
    <w:rsid w:val="00A23F04"/>
    <w:rsid w:val="00A2785A"/>
    <w:rsid w:val="00A3544F"/>
    <w:rsid w:val="00A40017"/>
    <w:rsid w:val="00A51922"/>
    <w:rsid w:val="00A559E6"/>
    <w:rsid w:val="00A67E27"/>
    <w:rsid w:val="00A731B3"/>
    <w:rsid w:val="00A750B8"/>
    <w:rsid w:val="00A7635B"/>
    <w:rsid w:val="00A80CFA"/>
    <w:rsid w:val="00A92D1C"/>
    <w:rsid w:val="00AA03FC"/>
    <w:rsid w:val="00AA4B85"/>
    <w:rsid w:val="00AC3260"/>
    <w:rsid w:val="00AD2ED8"/>
    <w:rsid w:val="00AE193E"/>
    <w:rsid w:val="00AE580D"/>
    <w:rsid w:val="00AF29EA"/>
    <w:rsid w:val="00B02785"/>
    <w:rsid w:val="00B15472"/>
    <w:rsid w:val="00B321BE"/>
    <w:rsid w:val="00B3333E"/>
    <w:rsid w:val="00B34107"/>
    <w:rsid w:val="00B41700"/>
    <w:rsid w:val="00B524B6"/>
    <w:rsid w:val="00B61284"/>
    <w:rsid w:val="00B876E5"/>
    <w:rsid w:val="00B878E0"/>
    <w:rsid w:val="00BA67EE"/>
    <w:rsid w:val="00BB1AD7"/>
    <w:rsid w:val="00BB3CBB"/>
    <w:rsid w:val="00BC6ACC"/>
    <w:rsid w:val="00BD3042"/>
    <w:rsid w:val="00BF0110"/>
    <w:rsid w:val="00C200A9"/>
    <w:rsid w:val="00C243BB"/>
    <w:rsid w:val="00C25991"/>
    <w:rsid w:val="00C26CE1"/>
    <w:rsid w:val="00C40D94"/>
    <w:rsid w:val="00C41228"/>
    <w:rsid w:val="00C4624D"/>
    <w:rsid w:val="00C61D7C"/>
    <w:rsid w:val="00C6206C"/>
    <w:rsid w:val="00C96319"/>
    <w:rsid w:val="00C97348"/>
    <w:rsid w:val="00CA73FB"/>
    <w:rsid w:val="00CA7F82"/>
    <w:rsid w:val="00CD4D0E"/>
    <w:rsid w:val="00CE10BA"/>
    <w:rsid w:val="00CE7E43"/>
    <w:rsid w:val="00CF7524"/>
    <w:rsid w:val="00D033B3"/>
    <w:rsid w:val="00D2260A"/>
    <w:rsid w:val="00D2503A"/>
    <w:rsid w:val="00D26A21"/>
    <w:rsid w:val="00D37DB3"/>
    <w:rsid w:val="00D402B8"/>
    <w:rsid w:val="00DA2381"/>
    <w:rsid w:val="00DA3634"/>
    <w:rsid w:val="00DA5812"/>
    <w:rsid w:val="00DB1C03"/>
    <w:rsid w:val="00DD4881"/>
    <w:rsid w:val="00E02C31"/>
    <w:rsid w:val="00E02C68"/>
    <w:rsid w:val="00E07A7C"/>
    <w:rsid w:val="00E3132B"/>
    <w:rsid w:val="00E6125B"/>
    <w:rsid w:val="00E6333F"/>
    <w:rsid w:val="00E7339C"/>
    <w:rsid w:val="00E755FE"/>
    <w:rsid w:val="00E77B66"/>
    <w:rsid w:val="00E867F8"/>
    <w:rsid w:val="00EA036A"/>
    <w:rsid w:val="00EB0CB4"/>
    <w:rsid w:val="00F04F46"/>
    <w:rsid w:val="00F17509"/>
    <w:rsid w:val="00F3149B"/>
    <w:rsid w:val="00F43CE6"/>
    <w:rsid w:val="00F53EE0"/>
    <w:rsid w:val="00F574B1"/>
    <w:rsid w:val="00F669D0"/>
    <w:rsid w:val="00F7142C"/>
    <w:rsid w:val="00F76322"/>
    <w:rsid w:val="00F857E7"/>
    <w:rsid w:val="00F93E09"/>
    <w:rsid w:val="00FA31B0"/>
    <w:rsid w:val="00FB09E5"/>
    <w:rsid w:val="00FF60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97BED"/>
  <w15:chartTrackingRefBased/>
  <w15:docId w15:val="{B9282894-208A-4A21-B5E1-C3056A87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33E"/>
    <w:pPr>
      <w:tabs>
        <w:tab w:val="center" w:pos="4680"/>
        <w:tab w:val="right" w:pos="9360"/>
      </w:tabs>
    </w:pPr>
  </w:style>
  <w:style w:type="character" w:customStyle="1" w:styleId="HeaderChar">
    <w:name w:val="Header Char"/>
    <w:link w:val="Header"/>
    <w:uiPriority w:val="99"/>
    <w:rsid w:val="00B3333E"/>
    <w:rPr>
      <w:sz w:val="24"/>
      <w:szCs w:val="24"/>
    </w:rPr>
  </w:style>
  <w:style w:type="paragraph" w:styleId="Footer">
    <w:name w:val="footer"/>
    <w:basedOn w:val="Normal"/>
    <w:link w:val="FooterChar"/>
    <w:uiPriority w:val="99"/>
    <w:unhideWhenUsed/>
    <w:rsid w:val="00B3333E"/>
    <w:pPr>
      <w:tabs>
        <w:tab w:val="center" w:pos="4680"/>
        <w:tab w:val="right" w:pos="9360"/>
      </w:tabs>
    </w:pPr>
  </w:style>
  <w:style w:type="character" w:customStyle="1" w:styleId="FooterChar">
    <w:name w:val="Footer Char"/>
    <w:link w:val="Footer"/>
    <w:uiPriority w:val="99"/>
    <w:rsid w:val="00B3333E"/>
    <w:rPr>
      <w:sz w:val="24"/>
      <w:szCs w:val="24"/>
    </w:rPr>
  </w:style>
  <w:style w:type="paragraph" w:styleId="BalloonText">
    <w:name w:val="Balloon Text"/>
    <w:basedOn w:val="Normal"/>
    <w:link w:val="BalloonTextChar"/>
    <w:uiPriority w:val="99"/>
    <w:semiHidden/>
    <w:unhideWhenUsed/>
    <w:rsid w:val="002F711C"/>
    <w:rPr>
      <w:rFonts w:ascii="Tahoma" w:hAnsi="Tahoma" w:cs="Tahoma"/>
      <w:sz w:val="16"/>
      <w:szCs w:val="16"/>
    </w:rPr>
  </w:style>
  <w:style w:type="character" w:customStyle="1" w:styleId="BalloonTextChar">
    <w:name w:val="Balloon Text Char"/>
    <w:link w:val="BalloonText"/>
    <w:uiPriority w:val="99"/>
    <w:semiHidden/>
    <w:rsid w:val="002F711C"/>
    <w:rPr>
      <w:rFonts w:ascii="Tahoma" w:hAnsi="Tahoma" w:cs="Tahoma"/>
      <w:sz w:val="16"/>
      <w:szCs w:val="16"/>
    </w:rPr>
  </w:style>
  <w:style w:type="character" w:customStyle="1" w:styleId="Bodytext">
    <w:name w:val="Body text_"/>
    <w:link w:val="Bodytext1"/>
    <w:locked/>
    <w:rsid w:val="00CE7E43"/>
    <w:rPr>
      <w:sz w:val="29"/>
      <w:szCs w:val="29"/>
      <w:shd w:val="clear" w:color="auto" w:fill="FFFFFF"/>
    </w:rPr>
  </w:style>
  <w:style w:type="paragraph" w:customStyle="1" w:styleId="Bodytext1">
    <w:name w:val="Body text1"/>
    <w:basedOn w:val="Normal"/>
    <w:link w:val="Bodytext"/>
    <w:rsid w:val="00CE7E43"/>
    <w:pPr>
      <w:widowControl w:val="0"/>
      <w:shd w:val="clear" w:color="auto" w:fill="FFFFFF"/>
      <w:spacing w:line="240" w:lineRule="atLeast"/>
      <w:jc w:val="both"/>
    </w:pPr>
    <w:rPr>
      <w:sz w:val="29"/>
      <w:szCs w:val="29"/>
    </w:rPr>
  </w:style>
  <w:style w:type="character" w:styleId="Hyperlink">
    <w:name w:val="Hyperlink"/>
    <w:uiPriority w:val="99"/>
    <w:unhideWhenUsed/>
    <w:rsid w:val="00A7635B"/>
    <w:rPr>
      <w:color w:val="0563C1"/>
      <w:u w:val="single"/>
    </w:rPr>
  </w:style>
  <w:style w:type="character" w:customStyle="1" w:styleId="UnresolvedMention">
    <w:name w:val="Unresolved Mention"/>
    <w:uiPriority w:val="99"/>
    <w:semiHidden/>
    <w:unhideWhenUsed/>
    <w:rsid w:val="00A7635B"/>
    <w:rPr>
      <w:color w:val="605E5C"/>
      <w:shd w:val="clear" w:color="auto" w:fill="E1DFDD"/>
    </w:rPr>
  </w:style>
  <w:style w:type="table" w:styleId="TableGrid">
    <w:name w:val="Table Grid"/>
    <w:basedOn w:val="TableNormal"/>
    <w:uiPriority w:val="59"/>
    <w:rsid w:val="004F0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AB52-9E5C-4C76-BEB7-FC0C28DA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cp:lastModifiedBy>Le Minh Thu</cp:lastModifiedBy>
  <cp:revision>35</cp:revision>
  <cp:lastPrinted>2025-07-30T23:57:00Z</cp:lastPrinted>
  <dcterms:created xsi:type="dcterms:W3CDTF">2026-04-20T00:58:00Z</dcterms:created>
  <dcterms:modified xsi:type="dcterms:W3CDTF">2026-04-20T07:15:00Z</dcterms:modified>
</cp:coreProperties>
</file>