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35" w:type="dxa"/>
        <w:tblLook w:val="00A0" w:firstRow="1" w:lastRow="0" w:firstColumn="1" w:lastColumn="0" w:noHBand="0" w:noVBand="0"/>
      </w:tblPr>
      <w:tblGrid>
        <w:gridCol w:w="7348"/>
        <w:gridCol w:w="8387"/>
      </w:tblGrid>
      <w:tr w:rsidR="00123ED2" w:rsidRPr="003E44F3" w:rsidTr="003E44F3">
        <w:trPr>
          <w:trHeight w:val="843"/>
        </w:trPr>
        <w:tc>
          <w:tcPr>
            <w:tcW w:w="7348" w:type="dxa"/>
          </w:tcPr>
          <w:p w:rsidR="00123ED2" w:rsidRPr="003E44F3" w:rsidRDefault="00123ED2" w:rsidP="003E44F3">
            <w:pPr>
              <w:spacing w:after="0" w:line="240" w:lineRule="auto"/>
              <w:jc w:val="center"/>
              <w:rPr>
                <w:lang w:val="es-CL"/>
              </w:rPr>
            </w:pPr>
            <w:r w:rsidRPr="003E44F3">
              <w:rPr>
                <w:lang w:val="es-CL"/>
              </w:rPr>
              <w:br w:type="page"/>
              <w:t>UỶ BAN NHÂN DÂN TỈNH AN GIANG</w:t>
            </w:r>
          </w:p>
          <w:p w:rsidR="00123ED2" w:rsidRPr="009C4667" w:rsidRDefault="00802DB7" w:rsidP="003E44F3">
            <w:pPr>
              <w:spacing w:after="0" w:line="240" w:lineRule="auto"/>
              <w:jc w:val="center"/>
              <w:rPr>
                <w:b/>
                <w:bCs/>
                <w:lang w:val="es-CL"/>
              </w:rPr>
            </w:pPr>
            <w:r>
              <w:rPr>
                <w:noProof/>
                <w:lang w:eastAsia="zh-CN"/>
              </w:rPr>
              <w:pict>
                <v:line id="Line 139" o:spid="_x0000_s1026" style="position:absolute;left:0;text-align:left;flip:x;z-index:1;visibility:visible" from="120.75pt,16.2pt" to="235.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ntGw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"/>
              </w:pict>
            </w:r>
            <w:r w:rsidR="00123ED2" w:rsidRPr="003E44F3">
              <w:rPr>
                <w:b/>
                <w:bCs/>
                <w:sz w:val="25"/>
                <w:szCs w:val="25"/>
                <w:lang w:val="es-CL"/>
              </w:rPr>
              <w:t>SỞ NÔNG NGHIỆP VÀ MÔI TRƯỜNG</w:t>
            </w:r>
          </w:p>
        </w:tc>
        <w:tc>
          <w:tcPr>
            <w:tcW w:w="8387" w:type="dxa"/>
          </w:tcPr>
          <w:p w:rsidR="00123ED2" w:rsidRPr="003E44F3" w:rsidRDefault="00123ED2" w:rsidP="003E44F3">
            <w:pPr>
              <w:pStyle w:val="BodyText"/>
              <w:widowControl w:val="0"/>
              <w:ind w:left="-108" w:right="314"/>
              <w:jc w:val="center"/>
              <w:rPr>
                <w:rFonts w:ascii="Times New Roman" w:hAnsi="Times New Roman"/>
                <w:b/>
                <w:sz w:val="25"/>
                <w:szCs w:val="25"/>
                <w:lang w:val="es-CL"/>
              </w:rPr>
            </w:pPr>
            <w:r w:rsidRPr="003E44F3">
              <w:rPr>
                <w:rFonts w:ascii="Times New Roman" w:hAnsi="Times New Roman"/>
                <w:b/>
                <w:sz w:val="25"/>
                <w:szCs w:val="25"/>
                <w:lang w:val="es-CL"/>
              </w:rPr>
              <w:t>CỘNG HOÀ XÃ HỘI CHỦ NGHĨA VIỆT NAM</w:t>
            </w:r>
          </w:p>
          <w:p w:rsidR="00123ED2" w:rsidRPr="003E44F3" w:rsidRDefault="00802DB7" w:rsidP="003E44F3">
            <w:pPr>
              <w:spacing w:after="0" w:line="240" w:lineRule="auto"/>
              <w:jc w:val="center"/>
              <w:rPr>
                <w:b/>
                <w:bCs/>
              </w:rPr>
            </w:pPr>
            <w:r>
              <w:rPr>
                <w:noProof/>
                <w:lang w:eastAsia="zh-CN"/>
              </w:rPr>
              <w:pict>
                <v:line id="Line 88" o:spid="_x0000_s1027" style="position:absolute;left:0;text-align:left;flip:x;z-index:2;visibility:visible" from="131.15pt,18.85pt" to="275.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"/>
              </w:pict>
            </w:r>
            <w:r w:rsidR="00123ED2" w:rsidRPr="003E44F3">
              <w:rPr>
                <w:b/>
                <w:sz w:val="27"/>
                <w:szCs w:val="27"/>
                <w:lang w:val="es-CL"/>
              </w:rPr>
              <w:t>Độc lập - Tự do - Hạnh phúc</w:t>
            </w:r>
          </w:p>
        </w:tc>
      </w:tr>
      <w:tr w:rsidR="00123ED2" w:rsidRPr="003E44F3" w:rsidTr="003E44F3">
        <w:tc>
          <w:tcPr>
            <w:tcW w:w="7348" w:type="dxa"/>
          </w:tcPr>
          <w:p w:rsidR="00123ED2" w:rsidRPr="003E44F3" w:rsidRDefault="00123ED2" w:rsidP="003E44F3">
            <w:pPr>
              <w:spacing w:after="0" w:line="240" w:lineRule="auto"/>
              <w:jc w:val="center"/>
              <w:rPr>
                <w:b/>
                <w:bCs/>
              </w:rPr>
            </w:pPr>
          </w:p>
        </w:tc>
        <w:tc>
          <w:tcPr>
            <w:tcW w:w="8387" w:type="dxa"/>
          </w:tcPr>
          <w:p w:rsidR="00123ED2" w:rsidRPr="003E44F3" w:rsidRDefault="00123ED2" w:rsidP="003E44F3">
            <w:pPr>
              <w:spacing w:after="0" w:line="240" w:lineRule="auto"/>
              <w:jc w:val="center"/>
              <w:rPr>
                <w:b/>
                <w:bCs/>
              </w:rPr>
            </w:pPr>
            <w:r w:rsidRPr="003E44F3">
              <w:rPr>
                <w:i/>
                <w:szCs w:val="26"/>
                <w:lang w:val="es-CL"/>
              </w:rPr>
              <w:t xml:space="preserve">An Giang, ngày  </w:t>
            </w:r>
            <w:r w:rsidRPr="003E44F3">
              <w:rPr>
                <w:b/>
                <w:i/>
                <w:szCs w:val="26"/>
                <w:lang w:val="es-CL"/>
              </w:rPr>
              <w:t xml:space="preserve">     </w:t>
            </w:r>
            <w:r w:rsidRPr="003E44F3">
              <w:rPr>
                <w:i/>
                <w:szCs w:val="26"/>
                <w:lang w:val="es-CL"/>
              </w:rPr>
              <w:t xml:space="preserve"> tháng  </w:t>
            </w:r>
            <w:r w:rsidRPr="003E44F3">
              <w:rPr>
                <w:b/>
                <w:i/>
                <w:szCs w:val="26"/>
                <w:lang w:val="es-CL"/>
              </w:rPr>
              <w:t xml:space="preserve">   </w:t>
            </w:r>
            <w:r w:rsidRPr="003E44F3">
              <w:rPr>
                <w:i/>
                <w:szCs w:val="26"/>
                <w:lang w:val="es-CL"/>
              </w:rPr>
              <w:t xml:space="preserve">   năm 2026</w:t>
            </w:r>
          </w:p>
        </w:tc>
      </w:tr>
    </w:tbl>
    <w:p w:rsidR="00123ED2" w:rsidRDefault="00123ED2" w:rsidP="00EA4410">
      <w:pPr>
        <w:jc w:val="center"/>
        <w:rPr>
          <w:b/>
          <w:bCs/>
        </w:rPr>
      </w:pPr>
    </w:p>
    <w:p w:rsidR="00123ED2" w:rsidRPr="0023007E" w:rsidRDefault="00123ED2" w:rsidP="0023007E">
      <w:pPr>
        <w:tabs>
          <w:tab w:val="center" w:pos="1843"/>
          <w:tab w:val="center" w:pos="6379"/>
        </w:tabs>
        <w:spacing w:before="240" w:after="0" w:line="240" w:lineRule="auto"/>
        <w:jc w:val="center"/>
        <w:rPr>
          <w:rFonts w:eastAsia="Times New Roman"/>
          <w:b/>
          <w:spacing w:val="20"/>
          <w:kern w:val="0"/>
          <w:szCs w:val="28"/>
          <w:lang w:eastAsia="en-US"/>
        </w:rPr>
      </w:pPr>
      <w:r w:rsidRPr="0023007E">
        <w:rPr>
          <w:rFonts w:eastAsia="Times New Roman"/>
          <w:b/>
          <w:spacing w:val="20"/>
          <w:kern w:val="0"/>
          <w:szCs w:val="28"/>
          <w:lang w:eastAsia="en-US"/>
        </w:rPr>
        <w:t>BẢN SO SÁNH, THUYẾT MINH DỰ THẢO QUYẾT ÐỊNH BAN HÀNH QUY ÐỊNH NỘI DUNG CHI VÀ MỨC CHI QUỸ PHÒNG, CHỐNG THIÊ</w:t>
      </w:r>
      <w:r w:rsidRPr="0023007E">
        <w:rPr>
          <w:b/>
          <w:spacing w:val="20"/>
          <w:kern w:val="0"/>
          <w:szCs w:val="28"/>
          <w:lang w:eastAsia="en-US"/>
        </w:rPr>
        <w:t>N TAI TRÊN ĐỊA BÀN TỈNH AN GIANG</w:t>
      </w:r>
    </w:p>
    <w:p w:rsidR="00123ED2" w:rsidRPr="0023007E" w:rsidRDefault="00123ED2" w:rsidP="0023007E">
      <w:pPr>
        <w:tabs>
          <w:tab w:val="left" w:pos="851"/>
        </w:tabs>
        <w:spacing w:before="120" w:after="0" w:line="240" w:lineRule="auto"/>
        <w:ind w:hanging="142"/>
        <w:jc w:val="center"/>
        <w:rPr>
          <w:rFonts w:eastAsia="Times New Roman"/>
          <w:kern w:val="0"/>
          <w:szCs w:val="28"/>
          <w:lang w:val="it-IT" w:eastAsia="en-US"/>
        </w:rPr>
      </w:pPr>
      <w:r w:rsidRPr="0023007E">
        <w:rPr>
          <w:rFonts w:eastAsia="Times New Roman"/>
          <w:kern w:val="0"/>
          <w:szCs w:val="28"/>
          <w:lang w:val="it-IT" w:eastAsia="en-US"/>
        </w:rPr>
        <w:t>(</w:t>
      </w:r>
      <w:r w:rsidRPr="0023007E">
        <w:rPr>
          <w:rFonts w:eastAsia="Times New Roman"/>
          <w:i/>
          <w:kern w:val="0"/>
          <w:szCs w:val="28"/>
          <w:lang w:val="it-IT" w:eastAsia="en-US"/>
        </w:rPr>
        <w:t>Kèm theo Tờ trình số         /TTr-SNNMT-CCTL ngày      tháng      n</w:t>
      </w:r>
      <w:r w:rsidRPr="0023007E">
        <w:rPr>
          <w:i/>
          <w:kern w:val="0"/>
          <w:szCs w:val="28"/>
          <w:lang w:val="it-IT" w:eastAsia="en-US"/>
        </w:rPr>
        <w:t>ăm 2026 của Sở Nông nghiệp và Môi trường</w:t>
      </w:r>
      <w:r w:rsidRPr="0023007E">
        <w:rPr>
          <w:rFonts w:eastAsia="Times New Roman"/>
          <w:kern w:val="0"/>
          <w:szCs w:val="28"/>
          <w:lang w:val="it-IT" w:eastAsia="en-US"/>
        </w:rPr>
        <w:t>)</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5494"/>
        <w:gridCol w:w="5668"/>
        <w:gridCol w:w="4392"/>
      </w:tblGrid>
      <w:tr w:rsidR="00123ED2" w:rsidRPr="003E44F3" w:rsidTr="003E44F3">
        <w:trPr>
          <w:tblHeader/>
        </w:trPr>
        <w:tc>
          <w:tcPr>
            <w:tcW w:w="1766" w:type="pct"/>
            <w:gridSpan w:val="2"/>
          </w:tcPr>
          <w:p w:rsidR="00123ED2" w:rsidRPr="003E44F3" w:rsidRDefault="00123ED2" w:rsidP="003E44F3">
            <w:pPr>
              <w:tabs>
                <w:tab w:val="left" w:pos="851"/>
              </w:tabs>
              <w:spacing w:before="120" w:after="0" w:line="240" w:lineRule="auto"/>
              <w:jc w:val="center"/>
              <w:rPr>
                <w:rFonts w:eastAsia="Times New Roman"/>
                <w:b/>
                <w:kern w:val="0"/>
                <w:sz w:val="26"/>
                <w:szCs w:val="26"/>
                <w:lang w:val="it-IT" w:eastAsia="en-US"/>
              </w:rPr>
            </w:pPr>
            <w:r w:rsidRPr="003E44F3">
              <w:rPr>
                <w:b/>
                <w:kern w:val="0"/>
                <w:sz w:val="26"/>
                <w:szCs w:val="26"/>
                <w:lang w:val="it-IT" w:eastAsia="en-US"/>
              </w:rPr>
              <w:t>QUYẾT ĐỊNH HIỆN HÀNH</w:t>
            </w:r>
          </w:p>
          <w:p w:rsidR="00123ED2" w:rsidRPr="009C4667" w:rsidRDefault="00123ED2" w:rsidP="003E44F3">
            <w:pPr>
              <w:spacing w:after="0" w:line="240" w:lineRule="auto"/>
              <w:jc w:val="center"/>
              <w:rPr>
                <w:b/>
                <w:bCs/>
                <w:sz w:val="24"/>
                <w:szCs w:val="24"/>
                <w:lang w:val="it-IT"/>
              </w:rPr>
            </w:pPr>
            <w:r w:rsidRPr="003E44F3">
              <w:rPr>
                <w:b/>
                <w:bCs/>
                <w:sz w:val="24"/>
                <w:szCs w:val="24"/>
                <w:lang w:val="it-IT"/>
              </w:rPr>
              <w:t>Quyết định số 47/2025/QĐ-UBND ngày 28 tháng 5 năm 2025 của Ủy ban nhân dân Tỉnh An Giang</w:t>
            </w:r>
          </w:p>
        </w:tc>
        <w:tc>
          <w:tcPr>
            <w:tcW w:w="1822" w:type="pct"/>
            <w:vAlign w:val="center"/>
          </w:tcPr>
          <w:p w:rsidR="00123ED2" w:rsidRPr="009C4667" w:rsidRDefault="00123ED2" w:rsidP="003E44F3">
            <w:pPr>
              <w:spacing w:after="0" w:line="240" w:lineRule="auto"/>
              <w:jc w:val="center"/>
              <w:rPr>
                <w:b/>
                <w:bCs/>
                <w:sz w:val="24"/>
                <w:szCs w:val="24"/>
                <w:lang w:val="it-IT"/>
              </w:rPr>
            </w:pPr>
            <w:r w:rsidRPr="003E44F3">
              <w:rPr>
                <w:b/>
                <w:bCs/>
                <w:sz w:val="24"/>
                <w:szCs w:val="24"/>
                <w:lang w:val="it-IT"/>
              </w:rPr>
              <w:t>DỰ THẢO QUYẾT ĐỊNH THAY THẾ</w:t>
            </w:r>
          </w:p>
        </w:tc>
        <w:tc>
          <w:tcPr>
            <w:tcW w:w="1412" w:type="pct"/>
            <w:vAlign w:val="center"/>
          </w:tcPr>
          <w:p w:rsidR="00123ED2" w:rsidRPr="003E44F3" w:rsidRDefault="00123ED2" w:rsidP="003E44F3">
            <w:pPr>
              <w:spacing w:after="0" w:line="240" w:lineRule="auto"/>
              <w:jc w:val="center"/>
              <w:rPr>
                <w:b/>
                <w:bCs/>
                <w:sz w:val="24"/>
                <w:szCs w:val="24"/>
              </w:rPr>
            </w:pPr>
            <w:r w:rsidRPr="003E44F3">
              <w:rPr>
                <w:b/>
                <w:bCs/>
                <w:sz w:val="24"/>
                <w:szCs w:val="24"/>
              </w:rPr>
              <w:t>THUYẾT MINH</w:t>
            </w:r>
          </w:p>
        </w:tc>
      </w:tr>
      <w:tr w:rsidR="00123ED2" w:rsidRPr="003E44F3" w:rsidTr="003E44F3">
        <w:trPr>
          <w:trHeight w:val="996"/>
        </w:trPr>
        <w:tc>
          <w:tcPr>
            <w:tcW w:w="1766" w:type="pct"/>
            <w:gridSpan w:val="2"/>
            <w:vAlign w:val="center"/>
          </w:tcPr>
          <w:p w:rsidR="00123ED2" w:rsidRPr="003E44F3" w:rsidRDefault="00123ED2" w:rsidP="003E44F3">
            <w:pPr>
              <w:spacing w:after="0" w:line="240" w:lineRule="auto"/>
              <w:rPr>
                <w:color w:val="000000"/>
                <w:sz w:val="24"/>
                <w:szCs w:val="24"/>
              </w:rPr>
            </w:pPr>
          </w:p>
        </w:tc>
        <w:tc>
          <w:tcPr>
            <w:tcW w:w="1822" w:type="pct"/>
            <w:vAlign w:val="center"/>
          </w:tcPr>
          <w:p w:rsidR="00123ED2" w:rsidRPr="003E44F3" w:rsidRDefault="00123ED2" w:rsidP="003E44F3">
            <w:pPr>
              <w:spacing w:after="0" w:line="240" w:lineRule="auto"/>
              <w:rPr>
                <w:b/>
                <w:bCs/>
                <w:color w:val="000000"/>
                <w:sz w:val="24"/>
                <w:szCs w:val="24"/>
              </w:rPr>
            </w:pPr>
            <w:smartTag w:uri="urn:schemas-microsoft-com:office:smarttags" w:element="place">
              <w:smartTag w:uri="urn:schemas:contacts" w:element="Sn">
                <w:r w:rsidRPr="003E44F3">
                  <w:rPr>
                    <w:b/>
                    <w:bCs/>
                    <w:color w:val="000000"/>
                    <w:sz w:val="24"/>
                    <w:szCs w:val="24"/>
                  </w:rPr>
                  <w:t>Chương</w:t>
                </w:r>
              </w:smartTag>
              <w:r w:rsidRPr="003E44F3">
                <w:rPr>
                  <w:b/>
                  <w:bCs/>
                  <w:color w:val="000000"/>
                  <w:sz w:val="24"/>
                  <w:szCs w:val="24"/>
                </w:rPr>
                <w:t xml:space="preserve"> </w:t>
              </w:r>
              <w:smartTag w:uri="urn:schemas:contacts" w:element="Sn">
                <w:r w:rsidRPr="003E44F3">
                  <w:rPr>
                    <w:b/>
                    <w:bCs/>
                    <w:color w:val="000000"/>
                    <w:sz w:val="24"/>
                    <w:szCs w:val="24"/>
                  </w:rPr>
                  <w:t>I.</w:t>
                </w:r>
              </w:smartTag>
            </w:smartTag>
            <w:r w:rsidRPr="003E44F3">
              <w:rPr>
                <w:b/>
                <w:bCs/>
                <w:color w:val="000000"/>
                <w:sz w:val="24"/>
                <w:szCs w:val="24"/>
              </w:rPr>
              <w:t xml:space="preserve"> QUY ĐỊNH CHUNG</w:t>
            </w:r>
          </w:p>
        </w:tc>
        <w:tc>
          <w:tcPr>
            <w:tcW w:w="1412" w:type="pct"/>
            <w:vAlign w:val="center"/>
          </w:tcPr>
          <w:p w:rsidR="00123ED2" w:rsidRPr="003E44F3" w:rsidRDefault="00123ED2" w:rsidP="003E44F3">
            <w:pPr>
              <w:spacing w:after="0" w:line="240" w:lineRule="auto"/>
              <w:rPr>
                <w:color w:val="000000"/>
                <w:sz w:val="24"/>
                <w:szCs w:val="24"/>
              </w:rPr>
            </w:pPr>
            <w:r w:rsidRPr="003E44F3">
              <w:rPr>
                <w:color w:val="000000"/>
                <w:sz w:val="24"/>
                <w:szCs w:val="24"/>
              </w:rPr>
              <w:t xml:space="preserve">Bổ sung Chương I. Quy định chung của dự thảo Quyết định so với </w:t>
            </w:r>
            <w:r w:rsidRPr="003E44F3">
              <w:rPr>
                <w:color w:val="000000"/>
                <w:sz w:val="24"/>
                <w:szCs w:val="24"/>
                <w:lang w:val="it-IT"/>
              </w:rPr>
              <w:t>Quyết định số 47/2025/QĐ-UBND</w:t>
            </w:r>
          </w:p>
        </w:tc>
      </w:tr>
      <w:tr w:rsidR="00123ED2" w:rsidRPr="009C4667" w:rsidTr="003E44F3">
        <w:trPr>
          <w:trHeight w:val="2981"/>
        </w:trPr>
        <w:tc>
          <w:tcPr>
            <w:tcW w:w="1766" w:type="pct"/>
            <w:gridSpan w:val="2"/>
            <w:vAlign w:val="center"/>
          </w:tcPr>
          <w:p w:rsidR="00123ED2" w:rsidRPr="003E44F3" w:rsidRDefault="00123ED2" w:rsidP="003E44F3">
            <w:pPr>
              <w:spacing w:after="0" w:line="240" w:lineRule="auto"/>
              <w:rPr>
                <w:color w:val="000000"/>
                <w:sz w:val="24"/>
                <w:szCs w:val="24"/>
              </w:rPr>
            </w:pPr>
            <w:r w:rsidRPr="003E44F3">
              <w:rPr>
                <w:b/>
                <w:bCs/>
                <w:color w:val="000000"/>
                <w:sz w:val="24"/>
                <w:szCs w:val="24"/>
                <w:lang w:val="vi-VN"/>
              </w:rPr>
              <w:t>Điều 1. Phạm vi điều chỉnh</w:t>
            </w:r>
            <w:r w:rsidRPr="003E44F3">
              <w:rPr>
                <w:b/>
                <w:bCs/>
                <w:color w:val="000000"/>
                <w:sz w:val="24"/>
                <w:szCs w:val="24"/>
              </w:rPr>
              <w:t xml:space="preserve"> và đ</w:t>
            </w:r>
            <w:r w:rsidRPr="003E44F3">
              <w:rPr>
                <w:b/>
                <w:bCs/>
                <w:color w:val="000000"/>
                <w:sz w:val="24"/>
                <w:szCs w:val="24"/>
                <w:lang w:val="vi-VN"/>
              </w:rPr>
              <w:t>ối tượng áp dụng</w:t>
            </w:r>
          </w:p>
          <w:p w:rsidR="00123ED2" w:rsidRPr="003E44F3" w:rsidRDefault="00123ED2" w:rsidP="003E44F3">
            <w:pPr>
              <w:spacing w:after="0" w:line="240" w:lineRule="auto"/>
              <w:rPr>
                <w:color w:val="000000"/>
                <w:sz w:val="24"/>
                <w:szCs w:val="24"/>
              </w:rPr>
            </w:pPr>
            <w:r w:rsidRPr="003E44F3">
              <w:rPr>
                <w:color w:val="000000"/>
                <w:sz w:val="24"/>
                <w:szCs w:val="24"/>
              </w:rPr>
              <w:t>1. Phạm vi điều chỉnh</w:t>
            </w:r>
          </w:p>
          <w:p w:rsidR="00123ED2" w:rsidRPr="003E44F3" w:rsidRDefault="00123ED2" w:rsidP="003E44F3">
            <w:pPr>
              <w:spacing w:after="0" w:line="240" w:lineRule="auto"/>
              <w:rPr>
                <w:color w:val="000000"/>
                <w:sz w:val="24"/>
                <w:szCs w:val="24"/>
              </w:rPr>
            </w:pPr>
            <w:r w:rsidRPr="003E44F3">
              <w:rPr>
                <w:color w:val="000000"/>
                <w:sz w:val="24"/>
                <w:szCs w:val="24"/>
              </w:rPr>
              <w:t xml:space="preserve"> Quyết định này quy định nội dung chi và mức chi của Quỹ phòng, chống thiên tai tỉnh An Giang (sau đây gọi tắt là Quỹ)</w:t>
            </w:r>
          </w:p>
          <w:p w:rsidR="00123ED2" w:rsidRPr="003E44F3" w:rsidRDefault="00123ED2" w:rsidP="003E44F3">
            <w:pPr>
              <w:spacing w:after="0" w:line="240" w:lineRule="auto"/>
              <w:rPr>
                <w:color w:val="000000"/>
                <w:sz w:val="24"/>
                <w:szCs w:val="24"/>
              </w:rPr>
            </w:pPr>
            <w:r w:rsidRPr="003E44F3">
              <w:rPr>
                <w:color w:val="000000"/>
                <w:sz w:val="24"/>
                <w:szCs w:val="24"/>
              </w:rPr>
              <w:t>2.  Đối tượng áp dụng</w:t>
            </w:r>
          </w:p>
          <w:p w:rsidR="00123ED2" w:rsidRPr="003E44F3" w:rsidRDefault="00123ED2" w:rsidP="003E44F3">
            <w:pPr>
              <w:spacing w:after="0" w:line="240" w:lineRule="auto"/>
              <w:rPr>
                <w:b/>
                <w:bCs/>
                <w:color w:val="000000"/>
                <w:sz w:val="24"/>
                <w:szCs w:val="24"/>
                <w:lang w:val="vi-VN"/>
              </w:rPr>
            </w:pPr>
            <w:r w:rsidRPr="003E44F3">
              <w:rPr>
                <w:color w:val="000000"/>
                <w:sz w:val="24"/>
                <w:szCs w:val="24"/>
              </w:rPr>
              <w:t xml:space="preserve"> </w:t>
            </w:r>
            <w:bookmarkStart w:id="0" w:name="_Hlk147308867"/>
            <w:r w:rsidRPr="003E44F3">
              <w:rPr>
                <w:color w:val="000000"/>
                <w:sz w:val="24"/>
                <w:szCs w:val="24"/>
              </w:rPr>
              <w:t>Các cơ quan, đơn vị, tổ chức, hộ gia đình và cá nhân trên địa bàn tỉnh An Giang; tổ chức, cá nhân nước ngoài đang sinh sống, hoạt động hoặc tham gia công tác phòng, chống thiên tai trên địa bàn tỉnh An Giang.</w:t>
            </w:r>
            <w:bookmarkEnd w:id="0"/>
          </w:p>
        </w:tc>
        <w:tc>
          <w:tcPr>
            <w:tcW w:w="1822" w:type="pct"/>
            <w:vAlign w:val="center"/>
          </w:tcPr>
          <w:p w:rsidR="00123ED2" w:rsidRPr="009C4667" w:rsidRDefault="00123ED2" w:rsidP="003E44F3">
            <w:pPr>
              <w:spacing w:after="0" w:line="240" w:lineRule="auto"/>
              <w:rPr>
                <w:b/>
                <w:bCs/>
                <w:color w:val="000000"/>
                <w:sz w:val="24"/>
                <w:szCs w:val="24"/>
                <w:lang w:val="vi-VN"/>
              </w:rPr>
            </w:pPr>
            <w:r w:rsidRPr="003E44F3">
              <w:rPr>
                <w:b/>
                <w:bCs/>
                <w:color w:val="000000"/>
                <w:sz w:val="24"/>
                <w:szCs w:val="24"/>
                <w:lang w:val="vi-VN"/>
              </w:rPr>
              <w:t>Điều 1. Phạm vi điều chỉnh</w:t>
            </w:r>
            <w:r w:rsidRPr="009C4667">
              <w:rPr>
                <w:b/>
                <w:bCs/>
                <w:color w:val="000000"/>
                <w:sz w:val="24"/>
                <w:szCs w:val="24"/>
                <w:lang w:val="vi-VN"/>
              </w:rPr>
              <w:t xml:space="preserve"> và đ</w:t>
            </w:r>
            <w:r w:rsidRPr="003E44F3">
              <w:rPr>
                <w:b/>
                <w:bCs/>
                <w:color w:val="000000"/>
                <w:sz w:val="24"/>
                <w:szCs w:val="24"/>
                <w:lang w:val="vi-VN"/>
              </w:rPr>
              <w:t>ối tượng áp dụng</w:t>
            </w:r>
          </w:p>
          <w:p w:rsidR="00123ED2" w:rsidRPr="009C4667" w:rsidRDefault="00123ED2" w:rsidP="003E44F3">
            <w:pPr>
              <w:spacing w:after="0" w:line="240" w:lineRule="auto"/>
              <w:rPr>
                <w:color w:val="000000"/>
                <w:sz w:val="24"/>
                <w:szCs w:val="24"/>
                <w:lang w:val="vi-VN"/>
              </w:rPr>
            </w:pPr>
            <w:r w:rsidRPr="009C4667">
              <w:rPr>
                <w:color w:val="000000"/>
                <w:sz w:val="24"/>
                <w:szCs w:val="24"/>
                <w:lang w:val="vi-VN"/>
              </w:rPr>
              <w:t>1. Phạm vi điều chỉnh</w:t>
            </w:r>
          </w:p>
          <w:p w:rsidR="00123ED2" w:rsidRPr="009C4667" w:rsidRDefault="00123ED2" w:rsidP="003E44F3">
            <w:pPr>
              <w:spacing w:after="0" w:line="240" w:lineRule="auto"/>
              <w:rPr>
                <w:color w:val="000000"/>
                <w:sz w:val="24"/>
                <w:szCs w:val="24"/>
                <w:lang w:val="vi-VN"/>
              </w:rPr>
            </w:pPr>
            <w:r w:rsidRPr="009C4667">
              <w:rPr>
                <w:color w:val="000000"/>
                <w:sz w:val="24"/>
                <w:szCs w:val="24"/>
                <w:lang w:val="vi-VN"/>
              </w:rPr>
              <w:t>Quyết định này quy định nội dung chi và mức chi của Quỹ phòng, chống thiên tai tỉnh An Giang (sau đây gọi tắt là Quỹ)</w:t>
            </w:r>
          </w:p>
          <w:p w:rsidR="00123ED2" w:rsidRPr="009C4667" w:rsidRDefault="00123ED2" w:rsidP="003E44F3">
            <w:pPr>
              <w:spacing w:after="0" w:line="240" w:lineRule="auto"/>
              <w:rPr>
                <w:color w:val="000000"/>
                <w:sz w:val="24"/>
                <w:szCs w:val="24"/>
                <w:lang w:val="vi-VN"/>
              </w:rPr>
            </w:pPr>
            <w:r w:rsidRPr="009C4667">
              <w:rPr>
                <w:color w:val="000000"/>
                <w:sz w:val="24"/>
                <w:szCs w:val="24"/>
                <w:lang w:val="vi-VN"/>
              </w:rPr>
              <w:t>2.  Đối tượng áp dụng</w:t>
            </w:r>
          </w:p>
          <w:p w:rsidR="00123ED2" w:rsidRPr="003E44F3" w:rsidRDefault="00123ED2" w:rsidP="003E44F3">
            <w:pPr>
              <w:spacing w:after="0" w:line="240" w:lineRule="auto"/>
              <w:rPr>
                <w:b/>
                <w:bCs/>
                <w:color w:val="000000"/>
                <w:sz w:val="24"/>
                <w:szCs w:val="24"/>
                <w:lang w:val="vi-VN"/>
              </w:rPr>
            </w:pPr>
            <w:r w:rsidRPr="009C4667">
              <w:rPr>
                <w:color w:val="000000"/>
                <w:sz w:val="24"/>
                <w:szCs w:val="24"/>
                <w:lang w:val="vi-VN"/>
              </w:rPr>
              <w:t>Các cơ quan, tổ chức, cá nhân có hoạt động liên quan đến công tác ứng phó, cứu trợ, hỗ trợ khắc phục hậu quả, phòng ngừa thiên tai và liên quan đến việc quản lý, sử dụng Quỹ phòng, chống thiên tai tỉnh An Giang.</w:t>
            </w:r>
          </w:p>
        </w:tc>
        <w:tc>
          <w:tcPr>
            <w:tcW w:w="1412" w:type="pct"/>
          </w:tcPr>
          <w:p w:rsidR="00123ED2" w:rsidRPr="009C4667" w:rsidRDefault="00123ED2" w:rsidP="003E44F3">
            <w:pPr>
              <w:spacing w:after="0" w:line="240" w:lineRule="auto"/>
              <w:jc w:val="both"/>
              <w:rPr>
                <w:b/>
                <w:sz w:val="24"/>
                <w:szCs w:val="24"/>
                <w:lang w:val="it-IT"/>
              </w:rPr>
            </w:pPr>
            <w:r w:rsidRPr="009C4667">
              <w:rPr>
                <w:sz w:val="24"/>
                <w:szCs w:val="24"/>
                <w:lang w:val="vi-VN"/>
              </w:rPr>
              <w:t xml:space="preserve">Phạm vi điều chỉnh của dự thảo Quyết định thay thế không thay đổi so với </w:t>
            </w:r>
            <w:r w:rsidRPr="009C4667">
              <w:rPr>
                <w:sz w:val="24"/>
                <w:szCs w:val="24"/>
                <w:lang w:val="it-IT"/>
              </w:rPr>
              <w:t>Quyết định số 47/2025/QĐ-UBND</w:t>
            </w:r>
            <w:r w:rsidRPr="009C4667">
              <w:rPr>
                <w:b/>
                <w:sz w:val="24"/>
                <w:szCs w:val="24"/>
                <w:lang w:val="it-IT"/>
              </w:rPr>
              <w:t>.</w:t>
            </w:r>
          </w:p>
          <w:p w:rsidR="00123ED2" w:rsidRPr="009C4667" w:rsidRDefault="00123ED2" w:rsidP="003E44F3">
            <w:pPr>
              <w:spacing w:after="0" w:line="240" w:lineRule="auto"/>
              <w:jc w:val="both"/>
              <w:rPr>
                <w:b/>
                <w:sz w:val="24"/>
                <w:szCs w:val="24"/>
                <w:lang w:val="it-IT"/>
              </w:rPr>
            </w:pPr>
          </w:p>
          <w:p w:rsidR="00123ED2" w:rsidRPr="009C4667" w:rsidRDefault="00123ED2" w:rsidP="003E44F3">
            <w:pPr>
              <w:spacing w:after="0" w:line="240" w:lineRule="auto"/>
              <w:jc w:val="both"/>
              <w:rPr>
                <w:sz w:val="24"/>
                <w:szCs w:val="24"/>
                <w:lang w:val="vi-VN"/>
              </w:rPr>
            </w:pPr>
          </w:p>
          <w:p w:rsidR="00123ED2" w:rsidRPr="009C4667" w:rsidRDefault="00123ED2" w:rsidP="003E44F3">
            <w:pPr>
              <w:spacing w:after="0" w:line="240" w:lineRule="auto"/>
              <w:jc w:val="both"/>
              <w:rPr>
                <w:b/>
                <w:sz w:val="24"/>
                <w:szCs w:val="24"/>
                <w:lang w:val="it-IT"/>
              </w:rPr>
            </w:pPr>
            <w:r w:rsidRPr="009C4667">
              <w:rPr>
                <w:sz w:val="24"/>
                <w:szCs w:val="24"/>
                <w:lang w:val="vi-VN"/>
              </w:rPr>
              <w:t xml:space="preserve">Đối tượng áp dụng của dự thảo Quyết định thay thế có thay đổi so với </w:t>
            </w:r>
            <w:r w:rsidRPr="009C4667">
              <w:rPr>
                <w:sz w:val="24"/>
                <w:szCs w:val="24"/>
                <w:lang w:val="it-IT"/>
              </w:rPr>
              <w:t>Quyết định số 47/2025/QĐ-UBND. Cụ thể thêm đối tượng có liên quan đến việc quản lý, sử dụng Quỹ phòng, chống thiên tai tỉnh An Giang</w:t>
            </w:r>
          </w:p>
          <w:p w:rsidR="00123ED2" w:rsidRPr="009C4667" w:rsidRDefault="00123ED2" w:rsidP="003E44F3">
            <w:pPr>
              <w:spacing w:after="0" w:line="240" w:lineRule="auto"/>
              <w:jc w:val="both"/>
              <w:rPr>
                <w:sz w:val="24"/>
                <w:szCs w:val="24"/>
                <w:lang w:val="it-IT"/>
              </w:rPr>
            </w:pPr>
          </w:p>
        </w:tc>
      </w:tr>
      <w:tr w:rsidR="00123ED2" w:rsidRPr="009C4667" w:rsidTr="003E44F3">
        <w:tc>
          <w:tcPr>
            <w:tcW w:w="1766" w:type="pct"/>
            <w:gridSpan w:val="2"/>
          </w:tcPr>
          <w:p w:rsidR="00123ED2" w:rsidRPr="009C4667" w:rsidRDefault="00123ED2" w:rsidP="003E44F3">
            <w:pPr>
              <w:spacing w:after="0" w:line="240" w:lineRule="auto"/>
              <w:jc w:val="both"/>
              <w:rPr>
                <w:color w:val="000000"/>
                <w:sz w:val="24"/>
                <w:szCs w:val="24"/>
                <w:lang w:val="it-IT"/>
              </w:rPr>
            </w:pPr>
          </w:p>
        </w:tc>
        <w:tc>
          <w:tcPr>
            <w:tcW w:w="1822" w:type="pct"/>
          </w:tcPr>
          <w:p w:rsidR="00123ED2" w:rsidRPr="009C4667" w:rsidRDefault="00123ED2" w:rsidP="003E44F3">
            <w:pPr>
              <w:spacing w:after="0" w:line="240" w:lineRule="auto"/>
              <w:jc w:val="both"/>
              <w:rPr>
                <w:b/>
                <w:color w:val="000000"/>
                <w:sz w:val="24"/>
                <w:szCs w:val="24"/>
                <w:lang w:val="it-IT"/>
              </w:rPr>
            </w:pPr>
            <w:r w:rsidRPr="009C4667">
              <w:rPr>
                <w:b/>
                <w:color w:val="000000"/>
                <w:sz w:val="24"/>
                <w:szCs w:val="24"/>
                <w:lang w:val="it-IT"/>
              </w:rPr>
              <w:t>Điều 2. Nguyên tắc áp dụng</w:t>
            </w:r>
          </w:p>
          <w:p w:rsidR="00123ED2" w:rsidRPr="009C4667" w:rsidRDefault="00123ED2" w:rsidP="003E44F3">
            <w:pPr>
              <w:spacing w:after="0" w:line="240" w:lineRule="auto"/>
              <w:jc w:val="both"/>
              <w:rPr>
                <w:color w:val="000000"/>
                <w:sz w:val="24"/>
                <w:szCs w:val="24"/>
                <w:lang w:val="it-IT"/>
              </w:rPr>
            </w:pPr>
            <w:r w:rsidRPr="009C4667">
              <w:rPr>
                <w:color w:val="000000"/>
                <w:sz w:val="24"/>
                <w:szCs w:val="24"/>
                <w:lang w:val="it-IT"/>
              </w:rPr>
              <w:t>1. Thực hiện công khai, minh bạch, công bằng, đúng mục đích, đúng mức hỗ trợ và đúng đối tượng theo quy định của pháp luật hiện hành.</w:t>
            </w:r>
          </w:p>
          <w:p w:rsidR="00123ED2" w:rsidRPr="009C4667" w:rsidRDefault="00123ED2" w:rsidP="003E44F3">
            <w:pPr>
              <w:spacing w:after="0" w:line="240" w:lineRule="auto"/>
              <w:jc w:val="both"/>
              <w:rPr>
                <w:color w:val="000000"/>
                <w:sz w:val="24"/>
                <w:szCs w:val="24"/>
                <w:lang w:val="it-IT"/>
              </w:rPr>
            </w:pPr>
            <w:r w:rsidRPr="009C4667">
              <w:rPr>
                <w:color w:val="000000"/>
                <w:sz w:val="24"/>
                <w:szCs w:val="24"/>
                <w:lang w:val="it-IT"/>
              </w:rPr>
              <w:t xml:space="preserve">2. Mức chi hỗ trợ, cứu trợ không vượt quá mức thiệt hại thực tế. </w:t>
            </w:r>
          </w:p>
          <w:p w:rsidR="00123ED2" w:rsidRPr="009C4667" w:rsidRDefault="00123ED2" w:rsidP="003E44F3">
            <w:pPr>
              <w:spacing w:after="0" w:line="240" w:lineRule="auto"/>
              <w:jc w:val="both"/>
              <w:rPr>
                <w:color w:val="000000"/>
                <w:sz w:val="24"/>
                <w:szCs w:val="24"/>
                <w:lang w:val="it-IT"/>
              </w:rPr>
            </w:pPr>
            <w:r w:rsidRPr="009C4667">
              <w:rPr>
                <w:color w:val="000000"/>
                <w:sz w:val="24"/>
                <w:szCs w:val="24"/>
                <w:lang w:val="it-IT"/>
              </w:rPr>
              <w:t xml:space="preserve">3. Chỉ thực hiện chi hỗ trợ từ Quỹ đối với các đối tượng chưa được hưởng hỗ trợ theo các quy định hiện hành </w:t>
            </w:r>
            <w:r w:rsidRPr="009C4667">
              <w:rPr>
                <w:color w:val="000000"/>
                <w:sz w:val="24"/>
                <w:szCs w:val="24"/>
                <w:lang w:val="it-IT"/>
              </w:rPr>
              <w:lastRenderedPageBreak/>
              <w:t xml:space="preserve">khác của Nhà nước; hỗ trợ cho các hoạt động phòng chống thiên tai mà ngân sách nhà nước chưa bố trí hoặc chưa đáp ứng yêu cầu thực tế. </w:t>
            </w:r>
          </w:p>
          <w:p w:rsidR="00123ED2" w:rsidRPr="009C4667" w:rsidRDefault="00123ED2" w:rsidP="003E44F3">
            <w:pPr>
              <w:spacing w:after="0" w:line="240" w:lineRule="auto"/>
              <w:jc w:val="both"/>
              <w:rPr>
                <w:color w:val="000000"/>
                <w:sz w:val="24"/>
                <w:szCs w:val="24"/>
                <w:lang w:val="it-IT"/>
              </w:rPr>
            </w:pPr>
            <w:r w:rsidRPr="009C4667">
              <w:rPr>
                <w:color w:val="000000"/>
                <w:sz w:val="24"/>
                <w:szCs w:val="24"/>
                <w:lang w:val="it-IT"/>
              </w:rPr>
              <w:t>4. Trường hợp cùng nội dung có nhiều cơ chế, chính sách hỗ trợ thì áp dụng cơ chế, chính sách hỗ trợ phù hợp, có lợi nhất.</w:t>
            </w:r>
          </w:p>
          <w:p w:rsidR="00123ED2" w:rsidRPr="009C4667" w:rsidRDefault="00123ED2" w:rsidP="003E44F3">
            <w:pPr>
              <w:spacing w:after="0" w:line="240" w:lineRule="auto"/>
              <w:jc w:val="both"/>
              <w:rPr>
                <w:color w:val="000000"/>
                <w:sz w:val="24"/>
                <w:szCs w:val="24"/>
                <w:lang w:val="it-IT"/>
              </w:rPr>
            </w:pPr>
            <w:r w:rsidRPr="009C4667">
              <w:rPr>
                <w:color w:val="000000"/>
                <w:sz w:val="24"/>
                <w:szCs w:val="24"/>
                <w:lang w:val="it-IT"/>
              </w:rPr>
              <w:t>5. Đối với những nội dung chi trong Quy định này có mức chi được viện dẫn áp dụng theo các văn bản quy phạm pháp luật hiện hành: khi các văn bản này được sửa đổi, bổ sung hoặc thay thế thì áp dụng theo văn bản sửa đổi, bổ sung, thay thế đó.</w:t>
            </w:r>
          </w:p>
        </w:tc>
        <w:tc>
          <w:tcPr>
            <w:tcW w:w="1412" w:type="pct"/>
          </w:tcPr>
          <w:p w:rsidR="00123ED2" w:rsidRPr="009C4667" w:rsidRDefault="00123ED2" w:rsidP="003E44F3">
            <w:pPr>
              <w:spacing w:after="0" w:line="240" w:lineRule="auto"/>
              <w:jc w:val="both"/>
              <w:rPr>
                <w:sz w:val="24"/>
                <w:szCs w:val="24"/>
                <w:lang w:val="it-IT"/>
              </w:rPr>
            </w:pPr>
            <w:r w:rsidRPr="009C4667">
              <w:rPr>
                <w:sz w:val="24"/>
                <w:szCs w:val="24"/>
                <w:lang w:val="it-IT"/>
              </w:rPr>
              <w:lastRenderedPageBreak/>
              <w:t>Bổ sung Điều 2 của dự thảo Quyết định thay thế so với Quyết định số 47/2025/QĐ-UBND. Nhằm để đưa ra một nguyên tắc áp dụng chung thuận lợi trong quá trình áp dụng quy định cùa Quyết định này.</w:t>
            </w:r>
          </w:p>
          <w:p w:rsidR="00123ED2" w:rsidRPr="009C4667" w:rsidRDefault="00123ED2" w:rsidP="003E44F3">
            <w:pPr>
              <w:spacing w:after="0" w:line="240" w:lineRule="auto"/>
              <w:jc w:val="both"/>
              <w:rPr>
                <w:sz w:val="24"/>
                <w:szCs w:val="24"/>
                <w:lang w:val="it-IT"/>
              </w:rPr>
            </w:pPr>
          </w:p>
        </w:tc>
      </w:tr>
      <w:tr w:rsidR="00123ED2" w:rsidRPr="009C4667" w:rsidTr="003E44F3">
        <w:trPr>
          <w:trHeight w:val="882"/>
        </w:trPr>
        <w:tc>
          <w:tcPr>
            <w:tcW w:w="1766" w:type="pct"/>
            <w:gridSpan w:val="2"/>
          </w:tcPr>
          <w:p w:rsidR="00123ED2" w:rsidRPr="009C4667" w:rsidRDefault="00123ED2" w:rsidP="003E44F3">
            <w:pPr>
              <w:spacing w:after="0" w:line="240" w:lineRule="auto"/>
              <w:jc w:val="both"/>
              <w:rPr>
                <w:b/>
                <w:color w:val="000000"/>
                <w:sz w:val="24"/>
                <w:szCs w:val="24"/>
                <w:lang w:val="it-IT"/>
              </w:rPr>
            </w:pPr>
          </w:p>
        </w:tc>
        <w:tc>
          <w:tcPr>
            <w:tcW w:w="1822" w:type="pct"/>
            <w:vAlign w:val="center"/>
          </w:tcPr>
          <w:p w:rsidR="00123ED2" w:rsidRPr="009C4667" w:rsidRDefault="00123ED2" w:rsidP="003E44F3">
            <w:pPr>
              <w:spacing w:after="0" w:line="240" w:lineRule="auto"/>
              <w:rPr>
                <w:b/>
                <w:bCs/>
                <w:color w:val="000000"/>
                <w:sz w:val="24"/>
                <w:szCs w:val="24"/>
                <w:lang w:val="it-IT"/>
              </w:rPr>
            </w:pPr>
            <w:r w:rsidRPr="003E44F3">
              <w:rPr>
                <w:b/>
                <w:bCs/>
                <w:color w:val="000000"/>
                <w:sz w:val="24"/>
                <w:szCs w:val="24"/>
                <w:lang w:val="vi-VN"/>
              </w:rPr>
              <w:t>Chương II</w:t>
            </w:r>
            <w:r w:rsidRPr="009C4667">
              <w:rPr>
                <w:b/>
                <w:bCs/>
                <w:color w:val="000000"/>
                <w:sz w:val="24"/>
                <w:szCs w:val="24"/>
                <w:lang w:val="it-IT"/>
              </w:rPr>
              <w:t xml:space="preserve">. </w:t>
            </w:r>
            <w:r w:rsidRPr="003E44F3">
              <w:rPr>
                <w:b/>
                <w:bCs/>
                <w:color w:val="000000"/>
                <w:sz w:val="24"/>
                <w:szCs w:val="24"/>
                <w:lang w:val="vi-VN"/>
              </w:rPr>
              <w:t xml:space="preserve">QUY ĐỊNH </w:t>
            </w:r>
            <w:r w:rsidRPr="009C4667">
              <w:rPr>
                <w:b/>
                <w:bCs/>
                <w:color w:val="000000"/>
                <w:sz w:val="24"/>
                <w:szCs w:val="24"/>
                <w:lang w:val="it-IT"/>
              </w:rPr>
              <w:t>CHI TIẾT</w:t>
            </w:r>
            <w:r w:rsidRPr="003E44F3">
              <w:rPr>
                <w:b/>
                <w:bCs/>
                <w:color w:val="000000"/>
                <w:sz w:val="24"/>
                <w:szCs w:val="24"/>
                <w:lang w:val="vi-VN"/>
              </w:rPr>
              <w:t xml:space="preserve"> NỘI DUNG CHI VÀ MỨC CHI </w:t>
            </w:r>
            <w:r w:rsidRPr="009C4667">
              <w:rPr>
                <w:b/>
                <w:bCs/>
                <w:color w:val="000000"/>
                <w:sz w:val="24"/>
                <w:szCs w:val="24"/>
                <w:lang w:val="it-IT"/>
              </w:rPr>
              <w:t xml:space="preserve">CỦA </w:t>
            </w:r>
            <w:r w:rsidRPr="003E44F3">
              <w:rPr>
                <w:b/>
                <w:bCs/>
                <w:color w:val="000000"/>
                <w:sz w:val="24"/>
                <w:szCs w:val="24"/>
                <w:lang w:val="vi-VN"/>
              </w:rPr>
              <w:t>QUỸ</w:t>
            </w:r>
          </w:p>
        </w:tc>
        <w:tc>
          <w:tcPr>
            <w:tcW w:w="1412" w:type="pct"/>
          </w:tcPr>
          <w:p w:rsidR="00123ED2" w:rsidRPr="009C4667" w:rsidRDefault="00123ED2" w:rsidP="003E44F3">
            <w:pPr>
              <w:spacing w:after="0" w:line="240" w:lineRule="auto"/>
              <w:jc w:val="both"/>
              <w:rPr>
                <w:color w:val="000000"/>
                <w:sz w:val="24"/>
                <w:szCs w:val="24"/>
                <w:lang w:val="it-IT"/>
              </w:rPr>
            </w:pPr>
            <w:r w:rsidRPr="009C4667">
              <w:rPr>
                <w:color w:val="000000"/>
                <w:sz w:val="24"/>
                <w:szCs w:val="24"/>
                <w:lang w:val="it-IT"/>
              </w:rPr>
              <w:t xml:space="preserve">Bổ sung Chương II. </w:t>
            </w:r>
            <w:r w:rsidRPr="003E44F3">
              <w:rPr>
                <w:bCs/>
                <w:color w:val="000000"/>
                <w:sz w:val="24"/>
                <w:szCs w:val="24"/>
                <w:lang w:val="vi-VN"/>
              </w:rPr>
              <w:t>Q</w:t>
            </w:r>
            <w:r w:rsidRPr="009C4667">
              <w:rPr>
                <w:bCs/>
                <w:color w:val="000000"/>
                <w:sz w:val="24"/>
                <w:szCs w:val="24"/>
                <w:lang w:val="it-IT"/>
              </w:rPr>
              <w:t>uy định chi tiết nội dung chi và mức chi của Quỹ của dự thảo Quyết định thay thế so</w:t>
            </w:r>
            <w:r w:rsidRPr="003E44F3">
              <w:rPr>
                <w:b/>
                <w:bCs/>
                <w:color w:val="000000"/>
                <w:sz w:val="24"/>
                <w:szCs w:val="24"/>
                <w:lang w:val="vi-VN"/>
              </w:rPr>
              <w:t xml:space="preserve"> </w:t>
            </w:r>
            <w:r w:rsidRPr="009C4667">
              <w:rPr>
                <w:color w:val="000000"/>
                <w:sz w:val="24"/>
                <w:szCs w:val="24"/>
                <w:lang w:val="it-IT"/>
              </w:rPr>
              <w:t xml:space="preserve">với </w:t>
            </w:r>
            <w:r w:rsidRPr="003E44F3">
              <w:rPr>
                <w:color w:val="000000"/>
                <w:sz w:val="24"/>
                <w:szCs w:val="24"/>
                <w:lang w:val="it-IT"/>
              </w:rPr>
              <w:t>Quyết định số 47/2025/QĐ-UBND</w:t>
            </w:r>
          </w:p>
        </w:tc>
      </w:tr>
      <w:tr w:rsidR="00123ED2" w:rsidRPr="003E44F3" w:rsidTr="003E44F3">
        <w:tc>
          <w:tcPr>
            <w:tcW w:w="1766" w:type="pct"/>
            <w:gridSpan w:val="2"/>
          </w:tcPr>
          <w:p w:rsidR="00123ED2" w:rsidRPr="009C4667" w:rsidRDefault="00123ED2" w:rsidP="003E44F3">
            <w:pPr>
              <w:spacing w:after="0" w:line="240" w:lineRule="auto"/>
              <w:jc w:val="both"/>
              <w:rPr>
                <w:b/>
                <w:bCs/>
                <w:color w:val="000000"/>
                <w:sz w:val="24"/>
                <w:szCs w:val="24"/>
                <w:lang w:val="it-IT"/>
              </w:rPr>
            </w:pPr>
            <w:r w:rsidRPr="009C4667">
              <w:rPr>
                <w:b/>
                <w:bCs/>
                <w:color w:val="000000"/>
                <w:sz w:val="24"/>
                <w:szCs w:val="24"/>
                <w:lang w:val="it-IT"/>
              </w:rPr>
              <w:t xml:space="preserve">Điều </w:t>
            </w:r>
            <w:r w:rsidRPr="003E44F3">
              <w:rPr>
                <w:b/>
                <w:bCs/>
                <w:color w:val="000000"/>
                <w:sz w:val="24"/>
                <w:szCs w:val="24"/>
                <w:lang w:val="vi-VN"/>
              </w:rPr>
              <w:t xml:space="preserve">2. </w:t>
            </w:r>
            <w:r w:rsidRPr="009C4667">
              <w:rPr>
                <w:b/>
                <w:bCs/>
                <w:color w:val="000000"/>
                <w:sz w:val="24"/>
                <w:szCs w:val="24"/>
                <w:lang w:val="it-IT"/>
              </w:rPr>
              <w:t xml:space="preserve">Nội dung chi và mức chi của Quỹ </w:t>
            </w:r>
          </w:p>
          <w:p w:rsidR="00123ED2" w:rsidRPr="009C4667" w:rsidRDefault="00123ED2" w:rsidP="003E44F3">
            <w:pPr>
              <w:spacing w:after="0" w:line="240" w:lineRule="auto"/>
              <w:jc w:val="both"/>
              <w:rPr>
                <w:bCs/>
                <w:color w:val="000000"/>
                <w:sz w:val="24"/>
                <w:szCs w:val="24"/>
                <w:lang w:val="it-IT"/>
              </w:rPr>
            </w:pPr>
          </w:p>
          <w:p w:rsidR="00123ED2" w:rsidRPr="009C4667" w:rsidRDefault="00123ED2" w:rsidP="003E44F3">
            <w:pPr>
              <w:spacing w:after="0" w:line="240" w:lineRule="auto"/>
              <w:jc w:val="both"/>
              <w:rPr>
                <w:bCs/>
                <w:color w:val="000000"/>
                <w:sz w:val="24"/>
                <w:szCs w:val="24"/>
                <w:lang w:val="it-IT"/>
              </w:rPr>
            </w:pPr>
            <w:r w:rsidRPr="009C4667">
              <w:rPr>
                <w:bCs/>
                <w:color w:val="000000"/>
                <w:sz w:val="24"/>
                <w:szCs w:val="24"/>
                <w:lang w:val="it-IT"/>
              </w:rPr>
              <w:t xml:space="preserve">1. Chi phí quản lý, điều hành hoạt động của Quỹ phòng, chống thiên tai tỉnh hằng năm không vượt quá 3% tổng số thu của Quỹ trong năm đó </w:t>
            </w:r>
          </w:p>
          <w:p w:rsidR="00123ED2" w:rsidRPr="009C4667" w:rsidRDefault="00123ED2" w:rsidP="003E44F3">
            <w:pPr>
              <w:spacing w:after="0" w:line="240" w:lineRule="auto"/>
              <w:jc w:val="both"/>
              <w:rPr>
                <w:bCs/>
                <w:color w:val="000000"/>
                <w:sz w:val="24"/>
                <w:szCs w:val="24"/>
                <w:lang w:val="it-IT"/>
              </w:rPr>
            </w:pPr>
            <w:r w:rsidRPr="009C4667">
              <w:rPr>
                <w:bCs/>
                <w:color w:val="000000"/>
                <w:sz w:val="24"/>
                <w:szCs w:val="24"/>
                <w:lang w:val="it-IT"/>
              </w:rPr>
              <w:t>a) Chi hỗ trợ cán bộ, công chức, viên chức làm nhiệm vụ kiêm nhiệm của Cơ quan quản lý Quỹ như sau:</w:t>
            </w:r>
          </w:p>
          <w:p w:rsidR="00123ED2" w:rsidRPr="009C4667" w:rsidRDefault="00123ED2" w:rsidP="003E44F3">
            <w:pPr>
              <w:spacing w:after="0" w:line="240" w:lineRule="auto"/>
              <w:jc w:val="both"/>
              <w:rPr>
                <w:bCs/>
                <w:color w:val="000000"/>
                <w:sz w:val="24"/>
                <w:szCs w:val="24"/>
                <w:lang w:val="it-IT"/>
              </w:rPr>
            </w:pPr>
            <w:r w:rsidRPr="009C4667">
              <w:rPr>
                <w:bCs/>
                <w:color w:val="000000"/>
                <w:sz w:val="24"/>
                <w:szCs w:val="24"/>
                <w:lang w:val="it-IT"/>
              </w:rPr>
              <w:t xml:space="preserve">Chi làm thêm giờ: mức chi theo quy định tại </w:t>
            </w:r>
            <w:r w:rsidRPr="003E44F3">
              <w:rPr>
                <w:bCs/>
                <w:color w:val="000000"/>
                <w:sz w:val="24"/>
                <w:szCs w:val="24"/>
                <w:lang w:val="vi-VN"/>
              </w:rPr>
              <w:t>Nghị định số 145/2020/NĐ-CP ngày 14</w:t>
            </w:r>
            <w:r w:rsidRPr="009C4667">
              <w:rPr>
                <w:bCs/>
                <w:color w:val="000000"/>
                <w:sz w:val="24"/>
                <w:szCs w:val="24"/>
                <w:lang w:val="it-IT"/>
              </w:rPr>
              <w:t xml:space="preserve"> tháng </w:t>
            </w:r>
            <w:r w:rsidRPr="003E44F3">
              <w:rPr>
                <w:bCs/>
                <w:color w:val="000000"/>
                <w:sz w:val="24"/>
                <w:szCs w:val="24"/>
                <w:lang w:val="vi-VN"/>
              </w:rPr>
              <w:t>12</w:t>
            </w:r>
            <w:r w:rsidRPr="009C4667">
              <w:rPr>
                <w:bCs/>
                <w:color w:val="000000"/>
                <w:sz w:val="24"/>
                <w:szCs w:val="24"/>
                <w:lang w:val="it-IT"/>
              </w:rPr>
              <w:t xml:space="preserve"> năm </w:t>
            </w:r>
            <w:r w:rsidRPr="003E44F3">
              <w:rPr>
                <w:bCs/>
                <w:color w:val="000000"/>
                <w:sz w:val="24"/>
                <w:szCs w:val="24"/>
                <w:lang w:val="vi-VN"/>
              </w:rPr>
              <w:t xml:space="preserve">2020 của Chính phủ quy định chi tiết và hướng dẫn thi hành một số điều của Bộ luật Lao động về </w:t>
            </w:r>
            <w:r w:rsidRPr="009C4667">
              <w:rPr>
                <w:bCs/>
                <w:color w:val="000000"/>
                <w:sz w:val="24"/>
                <w:szCs w:val="24"/>
                <w:lang w:val="it-IT"/>
              </w:rPr>
              <w:t>điều kiện lao động và quan hệ lao động và các văn bản hướng dẫn có liên quan.</w:t>
            </w:r>
          </w:p>
          <w:p w:rsidR="00123ED2" w:rsidRPr="009C4667" w:rsidRDefault="00123ED2" w:rsidP="003E44F3">
            <w:pPr>
              <w:spacing w:after="0" w:line="240" w:lineRule="auto"/>
              <w:jc w:val="both"/>
              <w:rPr>
                <w:bCs/>
                <w:color w:val="000000"/>
                <w:sz w:val="24"/>
                <w:szCs w:val="24"/>
                <w:lang w:val="it-IT"/>
              </w:rPr>
            </w:pPr>
            <w:r w:rsidRPr="009C4667">
              <w:rPr>
                <w:bCs/>
                <w:color w:val="000000"/>
                <w:sz w:val="24"/>
                <w:szCs w:val="24"/>
                <w:lang w:val="it-IT"/>
              </w:rPr>
              <w:t>Chi phụ cấp trách nhiệm quản lý; chi tiền lương và các khoản trích theo lương cho lao động hợp đồng thực hiện một số công việc phục vụ hoạt động của Quỹ theo quy định hiện hành.</w:t>
            </w:r>
          </w:p>
          <w:p w:rsidR="00123ED2" w:rsidRPr="009C4667" w:rsidRDefault="00123ED2" w:rsidP="003E44F3">
            <w:pPr>
              <w:spacing w:after="0" w:line="240" w:lineRule="auto"/>
              <w:jc w:val="both"/>
              <w:rPr>
                <w:bCs/>
                <w:color w:val="000000"/>
                <w:sz w:val="24"/>
                <w:szCs w:val="24"/>
                <w:lang w:val="it-IT"/>
              </w:rPr>
            </w:pPr>
            <w:r w:rsidRPr="009C4667">
              <w:rPr>
                <w:bCs/>
                <w:color w:val="000000"/>
                <w:sz w:val="24"/>
                <w:szCs w:val="24"/>
                <w:lang w:val="it-IT"/>
              </w:rPr>
              <w:t xml:space="preserve">b) Chi sửa chữa, bảo dưỡng tài sản; chi thuê, mua công cụ, dụng cụ lao động, tài sản, thiết bị, vật tư, văn </w:t>
            </w:r>
            <w:r w:rsidRPr="009C4667">
              <w:rPr>
                <w:bCs/>
                <w:color w:val="000000"/>
                <w:sz w:val="24"/>
                <w:szCs w:val="24"/>
                <w:lang w:val="it-IT"/>
              </w:rPr>
              <w:lastRenderedPageBreak/>
              <w:t>phòng phẩm phục vụ hoạt động của Quỹ; dịch vụ mua ngoài (tiền nhiên liệu, tiền điện, nước, điện thoại, bưu chính viễn thông, internet; kiểm toán; dịch vụ pháp lý; chi trả tiền sử dụng các tài liệu kỹ thuật, các dịch vụ kỹ thuật) và các chi phí khác phục vụ hoạt động của Quỹ: mức chi theo hóa đơn, chứng từ chi thực tế hợp pháp trong phạm vi dự toán được cấp thẩm quyền phê duyệt.</w:t>
            </w:r>
          </w:p>
          <w:p w:rsidR="00123ED2" w:rsidRPr="003E44F3" w:rsidRDefault="00123ED2" w:rsidP="003E44F3">
            <w:pPr>
              <w:spacing w:after="0" w:line="240" w:lineRule="auto"/>
              <w:jc w:val="both"/>
              <w:rPr>
                <w:bCs/>
                <w:color w:val="000000"/>
                <w:sz w:val="24"/>
                <w:szCs w:val="24"/>
                <w:lang w:val="vi-VN"/>
              </w:rPr>
            </w:pPr>
          </w:p>
          <w:p w:rsidR="00123ED2" w:rsidRPr="009C4667" w:rsidRDefault="00123ED2" w:rsidP="003E44F3">
            <w:pPr>
              <w:spacing w:after="0" w:line="240" w:lineRule="auto"/>
              <w:jc w:val="both"/>
              <w:rPr>
                <w:bCs/>
                <w:color w:val="000000"/>
                <w:sz w:val="24"/>
                <w:szCs w:val="24"/>
                <w:lang w:val="vi-VN"/>
              </w:rPr>
            </w:pPr>
            <w:r w:rsidRPr="009C4667">
              <w:rPr>
                <w:bCs/>
                <w:color w:val="000000"/>
                <w:sz w:val="24"/>
                <w:szCs w:val="24"/>
                <w:lang w:val="vi-VN"/>
              </w:rPr>
              <w:t>c) Chi hội nghị, tập huấn, họp khác liên quan đến hoạt động của Quỹ; công tác phí cho thành viên Quỹ và những người có liên quan khi đi công tác thực hiện nhiệm vụ của Quỹ: mức chi theo quy định tại Nghị quyết số 27/2017/NQ-HĐND ngày 08 tháng 12 năm 2017 của Hội đồng nhân dân tỉnh An Giang quy định chế độ công tác phí, chế độ chi hội nghị trên địa bàn tỉnh An Giang.</w:t>
            </w:r>
          </w:p>
          <w:p w:rsidR="00123ED2" w:rsidRPr="009C4667" w:rsidRDefault="00123ED2" w:rsidP="003E44F3">
            <w:pPr>
              <w:spacing w:after="0" w:line="240" w:lineRule="auto"/>
              <w:jc w:val="both"/>
              <w:rPr>
                <w:bCs/>
                <w:color w:val="000000"/>
                <w:sz w:val="24"/>
                <w:szCs w:val="24"/>
                <w:lang w:val="vi-VN"/>
              </w:rPr>
            </w:pPr>
          </w:p>
          <w:p w:rsidR="00123ED2" w:rsidRPr="009C4667" w:rsidRDefault="00123ED2" w:rsidP="003E44F3">
            <w:pPr>
              <w:spacing w:after="0" w:line="240" w:lineRule="auto"/>
              <w:jc w:val="both"/>
              <w:rPr>
                <w:bCs/>
                <w:color w:val="000000"/>
                <w:sz w:val="24"/>
                <w:szCs w:val="24"/>
                <w:lang w:val="vi-VN"/>
              </w:rPr>
            </w:pPr>
          </w:p>
          <w:p w:rsidR="00123ED2" w:rsidRPr="009C4667" w:rsidRDefault="00123ED2" w:rsidP="003E44F3">
            <w:pPr>
              <w:spacing w:after="0" w:line="240" w:lineRule="auto"/>
              <w:jc w:val="both"/>
              <w:rPr>
                <w:bCs/>
                <w:color w:val="000000"/>
                <w:sz w:val="24"/>
                <w:szCs w:val="24"/>
                <w:lang w:val="vi-VN"/>
              </w:rPr>
            </w:pPr>
          </w:p>
          <w:p w:rsidR="00123ED2" w:rsidRPr="009C4667" w:rsidRDefault="00123ED2" w:rsidP="003E44F3">
            <w:pPr>
              <w:spacing w:after="0" w:line="240" w:lineRule="auto"/>
              <w:jc w:val="both"/>
              <w:rPr>
                <w:bCs/>
                <w:color w:val="000000"/>
                <w:sz w:val="24"/>
                <w:szCs w:val="24"/>
                <w:lang w:val="vi-VN"/>
              </w:rPr>
            </w:pPr>
          </w:p>
          <w:p w:rsidR="00123ED2" w:rsidRPr="009C4667" w:rsidRDefault="00123ED2" w:rsidP="003E44F3">
            <w:pPr>
              <w:spacing w:after="0" w:line="240" w:lineRule="auto"/>
              <w:jc w:val="both"/>
              <w:rPr>
                <w:bCs/>
                <w:color w:val="000000"/>
                <w:sz w:val="24"/>
                <w:szCs w:val="24"/>
                <w:lang w:val="vi-VN"/>
              </w:rPr>
            </w:pPr>
          </w:p>
          <w:p w:rsidR="00123ED2" w:rsidRPr="009C4667" w:rsidRDefault="00123ED2" w:rsidP="003E44F3">
            <w:pPr>
              <w:spacing w:after="0" w:line="240" w:lineRule="auto"/>
              <w:jc w:val="both"/>
              <w:rPr>
                <w:bCs/>
                <w:color w:val="000000"/>
                <w:sz w:val="24"/>
                <w:szCs w:val="24"/>
                <w:lang w:val="vi-VN"/>
              </w:rPr>
            </w:pPr>
          </w:p>
        </w:tc>
        <w:tc>
          <w:tcPr>
            <w:tcW w:w="1822" w:type="pct"/>
          </w:tcPr>
          <w:p w:rsidR="00123ED2" w:rsidRPr="009C4667" w:rsidRDefault="00123ED2" w:rsidP="003E44F3">
            <w:pPr>
              <w:spacing w:after="0" w:line="240" w:lineRule="auto"/>
              <w:jc w:val="both"/>
              <w:rPr>
                <w:b/>
                <w:bCs/>
                <w:color w:val="000000"/>
                <w:sz w:val="24"/>
                <w:szCs w:val="24"/>
                <w:lang w:val="vi-VN"/>
              </w:rPr>
            </w:pPr>
            <w:r w:rsidRPr="009C4667">
              <w:rPr>
                <w:b/>
                <w:color w:val="000000"/>
                <w:sz w:val="24"/>
                <w:szCs w:val="24"/>
                <w:lang w:val="vi-VN"/>
              </w:rPr>
              <w:lastRenderedPageBreak/>
              <w:t>Điều 3</w:t>
            </w:r>
            <w:r w:rsidRPr="003E44F3">
              <w:rPr>
                <w:b/>
                <w:color w:val="000000"/>
                <w:sz w:val="24"/>
                <w:szCs w:val="24"/>
                <w:lang w:val="vi-VN"/>
              </w:rPr>
              <w:t xml:space="preserve">. </w:t>
            </w:r>
            <w:r w:rsidRPr="003E44F3">
              <w:rPr>
                <w:b/>
                <w:bCs/>
                <w:color w:val="000000"/>
                <w:sz w:val="24"/>
                <w:szCs w:val="24"/>
                <w:lang w:val="vi-VN"/>
              </w:rPr>
              <w:t xml:space="preserve">Nội dung chi và mức chi cho chi phí quản lý, điều hành hoạt động của Quỹ </w:t>
            </w:r>
          </w:p>
          <w:p w:rsidR="00123ED2" w:rsidRPr="003E44F3" w:rsidRDefault="00123ED2" w:rsidP="003E44F3">
            <w:pPr>
              <w:spacing w:after="0" w:line="240" w:lineRule="auto"/>
              <w:jc w:val="both"/>
              <w:rPr>
                <w:color w:val="000000"/>
                <w:sz w:val="24"/>
                <w:szCs w:val="24"/>
              </w:rPr>
            </w:pPr>
            <w:bookmarkStart w:id="1" w:name="_Hlk184388088"/>
            <w:r w:rsidRPr="003E44F3">
              <w:rPr>
                <w:color w:val="000000"/>
                <w:sz w:val="24"/>
                <w:szCs w:val="24"/>
                <w:lang w:val="vi-VN"/>
              </w:rPr>
              <w:t>Mức chi cho</w:t>
            </w:r>
            <w:r w:rsidRPr="003E44F3">
              <w:rPr>
                <w:color w:val="000000"/>
                <w:sz w:val="24"/>
                <w:szCs w:val="24"/>
              </w:rPr>
              <w:t xml:space="preserve"> quản lý, điều hành hoạt động của Quỹ </w:t>
            </w:r>
            <w:r w:rsidRPr="003E44F3">
              <w:rPr>
                <w:color w:val="000000"/>
                <w:sz w:val="24"/>
                <w:szCs w:val="24"/>
                <w:lang w:val="vi-VN"/>
              </w:rPr>
              <w:t>không vượt quá</w:t>
            </w:r>
            <w:r w:rsidRPr="003E44F3">
              <w:rPr>
                <w:color w:val="000000"/>
                <w:sz w:val="24"/>
                <w:szCs w:val="24"/>
              </w:rPr>
              <w:t xml:space="preserve"> 3% tổng số thu Quỹ phòng, chống thiên tai </w:t>
            </w:r>
            <w:r w:rsidRPr="009C4667">
              <w:rPr>
                <w:color w:val="000000"/>
                <w:sz w:val="24"/>
                <w:szCs w:val="24"/>
                <w:lang w:val="vi-VN"/>
              </w:rPr>
              <w:t>tỉnh trong năm</w:t>
            </w:r>
            <w:r w:rsidRPr="003E44F3">
              <w:rPr>
                <w:color w:val="000000"/>
                <w:sz w:val="24"/>
                <w:szCs w:val="24"/>
              </w:rPr>
              <w:t>, được sử dụng để chi cho các nội dung sau:</w:t>
            </w:r>
          </w:p>
          <w:p w:rsidR="00123ED2" w:rsidRPr="003E44F3" w:rsidRDefault="00123ED2" w:rsidP="003E44F3">
            <w:pPr>
              <w:spacing w:after="0" w:line="240" w:lineRule="auto"/>
              <w:jc w:val="both"/>
              <w:rPr>
                <w:color w:val="000000"/>
                <w:sz w:val="24"/>
                <w:szCs w:val="24"/>
              </w:rPr>
            </w:pPr>
            <w:r w:rsidRPr="003E44F3">
              <w:rPr>
                <w:color w:val="000000"/>
                <w:sz w:val="24"/>
                <w:szCs w:val="24"/>
              </w:rPr>
              <w:t>1. Chi hỗ trợ cán bộ, công chức, viên chức làm nhiệm vụ kiêm nhiệm của Cơ quan quản lý Quỹ như sau:</w:t>
            </w:r>
          </w:p>
          <w:p w:rsidR="00123ED2" w:rsidRPr="003E44F3" w:rsidRDefault="00123ED2" w:rsidP="003E44F3">
            <w:pPr>
              <w:spacing w:after="0" w:line="240" w:lineRule="auto"/>
              <w:jc w:val="both"/>
              <w:rPr>
                <w:color w:val="000000"/>
                <w:sz w:val="24"/>
                <w:szCs w:val="24"/>
              </w:rPr>
            </w:pPr>
            <w:r w:rsidRPr="003E44F3">
              <w:rPr>
                <w:color w:val="000000"/>
                <w:sz w:val="24"/>
                <w:szCs w:val="24"/>
              </w:rPr>
              <w:t xml:space="preserve">a) Chi làm thêm giờ: mức chi theo quy định tại </w:t>
            </w:r>
            <w:r w:rsidRPr="003E44F3">
              <w:rPr>
                <w:color w:val="000000"/>
                <w:sz w:val="24"/>
                <w:szCs w:val="24"/>
                <w:lang w:val="vi-VN"/>
              </w:rPr>
              <w:t>Nghị định số 145/2020/NĐ-CP ngày 14</w:t>
            </w:r>
            <w:r w:rsidRPr="003E44F3">
              <w:rPr>
                <w:color w:val="000000"/>
                <w:sz w:val="24"/>
                <w:szCs w:val="24"/>
              </w:rPr>
              <w:t xml:space="preserve"> tháng </w:t>
            </w:r>
            <w:r w:rsidRPr="003E44F3">
              <w:rPr>
                <w:color w:val="000000"/>
                <w:sz w:val="24"/>
                <w:szCs w:val="24"/>
                <w:lang w:val="vi-VN"/>
              </w:rPr>
              <w:t>12</w:t>
            </w:r>
            <w:r w:rsidRPr="003E44F3">
              <w:rPr>
                <w:color w:val="000000"/>
                <w:sz w:val="24"/>
                <w:szCs w:val="24"/>
              </w:rPr>
              <w:t xml:space="preserve"> năm </w:t>
            </w:r>
            <w:r w:rsidRPr="003E44F3">
              <w:rPr>
                <w:color w:val="000000"/>
                <w:sz w:val="24"/>
                <w:szCs w:val="24"/>
                <w:lang w:val="vi-VN"/>
              </w:rPr>
              <w:t xml:space="preserve">2020 của Chính phủ quy định chi tiết và hướng dẫn thi hành một số điều của Bộ luật Lao động về </w:t>
            </w:r>
            <w:r w:rsidRPr="003E44F3">
              <w:rPr>
                <w:color w:val="000000"/>
                <w:sz w:val="24"/>
                <w:szCs w:val="24"/>
              </w:rPr>
              <w:t>điều kiện lao động và quan hệ lao động và các văn bản hướng dẫn có liên quan.</w:t>
            </w:r>
          </w:p>
          <w:p w:rsidR="00123ED2" w:rsidRPr="003E44F3" w:rsidRDefault="00123ED2" w:rsidP="003E44F3">
            <w:pPr>
              <w:spacing w:after="0" w:line="240" w:lineRule="auto"/>
              <w:jc w:val="both"/>
              <w:rPr>
                <w:color w:val="000000"/>
                <w:sz w:val="24"/>
                <w:szCs w:val="24"/>
              </w:rPr>
            </w:pPr>
            <w:r w:rsidRPr="003E44F3">
              <w:rPr>
                <w:color w:val="000000"/>
                <w:sz w:val="24"/>
                <w:szCs w:val="24"/>
              </w:rPr>
              <w:t>b) Chi phụ cấp trách nhiệm quản lý; chi tiền lương và các khoản trích theo lương cho lao động hợp đồng thực hiện một số công việc phục vụ hoạt động của Quỹ theo quy định hiện hành.</w:t>
            </w:r>
          </w:p>
          <w:p w:rsidR="00123ED2" w:rsidRPr="003E44F3" w:rsidRDefault="00123ED2" w:rsidP="003E44F3">
            <w:pPr>
              <w:spacing w:after="0" w:line="240" w:lineRule="auto"/>
              <w:jc w:val="both"/>
              <w:rPr>
                <w:color w:val="000000"/>
                <w:sz w:val="24"/>
                <w:szCs w:val="24"/>
              </w:rPr>
            </w:pPr>
            <w:r w:rsidRPr="003E44F3">
              <w:rPr>
                <w:color w:val="000000"/>
                <w:sz w:val="24"/>
                <w:szCs w:val="24"/>
              </w:rPr>
              <w:t xml:space="preserve">2. Chi sửa chữa, bảo dưỡng tài sản; chi thuê, mua công </w:t>
            </w:r>
            <w:r w:rsidRPr="003E44F3">
              <w:rPr>
                <w:color w:val="000000"/>
                <w:sz w:val="24"/>
                <w:szCs w:val="24"/>
              </w:rPr>
              <w:lastRenderedPageBreak/>
              <w:t>cụ, dụng cụ lao động, tài sản, thiết bị, vật tư, văn phòng phẩm phục vụ hoạt động của Quỹ; dịch vụ mua ngoài (tiền nhiên liệu, tiền điện, nước, điện thoại, bưu chính viễn thông, internet; kiểm toán; dịch vụ pháp lý; chi trả tiền sử dụng các tài liệu kỹ thuật, các dịch vụ kỹ thuật) và các chi phí khác phục vụ hoạt động của Quỹ: mức chi theo hóa đơn, chứng từ chi thực tế hợp pháp trong phạm vi dự toán được Giám đốc Quỹ phê duyệt.</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lang w:val="nb-NO"/>
              </w:rPr>
            </w:pPr>
            <w:r w:rsidRPr="003E44F3">
              <w:rPr>
                <w:color w:val="000000"/>
                <w:sz w:val="24"/>
                <w:szCs w:val="24"/>
              </w:rPr>
              <w:t xml:space="preserve">3. Chi hội nghị, tập huấn, họp khác liên quan đến hoạt động của Quỹ; công tác phí cho thành viên Quỹ và những người có liên quan khi đi công tác thực hiện nhiệm vụ của Quỹ: mức chi theo quy định tại Nghị quyết số 05/2025/NQ-HĐND ngày 26 tháng 9 năm 2025 của Hội đồng nhân dân tỉnh An Giang quy định </w:t>
            </w:r>
            <w:r w:rsidRPr="003E44F3">
              <w:rPr>
                <w:color w:val="000000"/>
                <w:sz w:val="24"/>
                <w:szCs w:val="24"/>
                <w:lang w:val="nb-NO"/>
              </w:rPr>
              <w:t xml:space="preserve">mức chi công tác phí, chi hội nghị trên địa bàn tỉnh An Giang. </w:t>
            </w:r>
            <w:bookmarkEnd w:id="1"/>
          </w:p>
        </w:tc>
        <w:tc>
          <w:tcPr>
            <w:tcW w:w="1412" w:type="pct"/>
          </w:tcPr>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lang w:val="it-IT"/>
              </w:rPr>
            </w:pPr>
            <w:r w:rsidRPr="003E44F3">
              <w:rPr>
                <w:color w:val="000000"/>
                <w:sz w:val="24"/>
                <w:szCs w:val="24"/>
              </w:rPr>
              <w:t xml:space="preserve">Nội chi tại khoản 1, 2 Điều 3 của dự thảo Quyết định thay thế giữ nguyên so với </w:t>
            </w:r>
            <w:r w:rsidRPr="003E44F3">
              <w:rPr>
                <w:color w:val="000000"/>
                <w:sz w:val="24"/>
                <w:szCs w:val="24"/>
                <w:lang w:val="it-IT"/>
              </w:rPr>
              <w:t>Quyết định số 47/2025/QĐ-UBND</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lang w:val="it-IT"/>
              </w:rPr>
            </w:pPr>
            <w:r w:rsidRPr="003E44F3">
              <w:rPr>
                <w:color w:val="000000"/>
                <w:sz w:val="24"/>
                <w:szCs w:val="24"/>
                <w:lang w:val="vi-VN"/>
              </w:rPr>
              <w:t xml:space="preserve">Nội dung tại khoản </w:t>
            </w:r>
            <w:r w:rsidRPr="003E44F3">
              <w:rPr>
                <w:color w:val="000000"/>
                <w:sz w:val="24"/>
                <w:szCs w:val="24"/>
              </w:rPr>
              <w:t>3</w:t>
            </w:r>
            <w:r w:rsidRPr="003E44F3">
              <w:rPr>
                <w:color w:val="000000"/>
                <w:sz w:val="24"/>
                <w:szCs w:val="24"/>
                <w:lang w:val="vi-VN"/>
              </w:rPr>
              <w:t xml:space="preserve"> Điều </w:t>
            </w:r>
            <w:r w:rsidRPr="003E44F3">
              <w:rPr>
                <w:color w:val="000000"/>
                <w:sz w:val="24"/>
                <w:szCs w:val="24"/>
              </w:rPr>
              <w:t>3</w:t>
            </w:r>
            <w:r w:rsidRPr="003E44F3">
              <w:rPr>
                <w:color w:val="000000"/>
                <w:sz w:val="24"/>
                <w:szCs w:val="24"/>
                <w:lang w:val="vi-VN"/>
              </w:rPr>
              <w:t xml:space="preserve"> của dự thảo Quy</w:t>
            </w:r>
            <w:r w:rsidRPr="003E44F3">
              <w:rPr>
                <w:color w:val="000000"/>
                <w:sz w:val="24"/>
                <w:szCs w:val="24"/>
              </w:rPr>
              <w:t xml:space="preserve">ết </w:t>
            </w:r>
            <w:r w:rsidRPr="003E44F3">
              <w:rPr>
                <w:color w:val="000000"/>
                <w:sz w:val="24"/>
                <w:szCs w:val="24"/>
                <w:lang w:val="vi-VN"/>
              </w:rPr>
              <w:t>định</w:t>
            </w:r>
            <w:r w:rsidRPr="003E44F3">
              <w:rPr>
                <w:color w:val="000000"/>
                <w:sz w:val="24"/>
                <w:szCs w:val="24"/>
              </w:rPr>
              <w:t xml:space="preserve"> thay thế</w:t>
            </w:r>
            <w:r w:rsidRPr="003E44F3">
              <w:rPr>
                <w:color w:val="000000"/>
                <w:sz w:val="24"/>
                <w:szCs w:val="24"/>
                <w:lang w:val="vi-VN"/>
              </w:rPr>
              <w:t xml:space="preserve"> </w:t>
            </w:r>
            <w:r w:rsidRPr="003E44F3">
              <w:rPr>
                <w:color w:val="000000"/>
                <w:sz w:val="24"/>
                <w:szCs w:val="24"/>
              </w:rPr>
              <w:t>có</w:t>
            </w:r>
            <w:r w:rsidRPr="003E44F3">
              <w:rPr>
                <w:color w:val="000000"/>
                <w:sz w:val="24"/>
                <w:szCs w:val="24"/>
                <w:lang w:val="vi-VN"/>
              </w:rPr>
              <w:t xml:space="preserve"> thay đổi </w:t>
            </w:r>
            <w:r w:rsidRPr="003E44F3">
              <w:rPr>
                <w:color w:val="000000"/>
                <w:sz w:val="24"/>
                <w:szCs w:val="24"/>
              </w:rPr>
              <w:t xml:space="preserve">căn cứ mức chi theo Nghị quyết số 05/2025/NQ-HĐND </w:t>
            </w:r>
            <w:r w:rsidRPr="003E44F3">
              <w:rPr>
                <w:color w:val="000000"/>
                <w:sz w:val="24"/>
                <w:szCs w:val="24"/>
                <w:lang w:val="vi-VN"/>
              </w:rPr>
              <w:t xml:space="preserve">so với </w:t>
            </w:r>
            <w:r w:rsidRPr="003E44F3">
              <w:rPr>
                <w:color w:val="000000"/>
                <w:sz w:val="24"/>
                <w:szCs w:val="24"/>
                <w:lang w:val="it-IT"/>
              </w:rPr>
              <w:t xml:space="preserve">Quyết định số 47/2025/QĐ-UBND (thay thế </w:t>
            </w:r>
            <w:r w:rsidRPr="003E44F3">
              <w:rPr>
                <w:color w:val="000000"/>
                <w:sz w:val="24"/>
                <w:szCs w:val="24"/>
              </w:rPr>
              <w:t xml:space="preserve">Nghị quyết số 27/2017/NQ-HĐND ngày 08 tháng 12 năm 2017) </w:t>
            </w:r>
          </w:p>
          <w:p w:rsidR="00123ED2" w:rsidRPr="003E44F3" w:rsidRDefault="00123ED2" w:rsidP="003E44F3">
            <w:pPr>
              <w:spacing w:after="0" w:line="240" w:lineRule="auto"/>
              <w:jc w:val="both"/>
              <w:rPr>
                <w:color w:val="000000"/>
                <w:sz w:val="24"/>
                <w:szCs w:val="24"/>
              </w:rPr>
            </w:pPr>
          </w:p>
        </w:tc>
      </w:tr>
      <w:tr w:rsidR="00123ED2" w:rsidRPr="003E44F3" w:rsidTr="003E44F3">
        <w:trPr>
          <w:gridBefore w:val="1"/>
        </w:trPr>
        <w:tc>
          <w:tcPr>
            <w:tcW w:w="1766" w:type="pct"/>
          </w:tcPr>
          <w:p w:rsidR="00123ED2" w:rsidRPr="003E44F3" w:rsidRDefault="00123ED2" w:rsidP="003E44F3">
            <w:pPr>
              <w:spacing w:after="0" w:line="240" w:lineRule="auto"/>
              <w:jc w:val="both"/>
              <w:rPr>
                <w:b/>
                <w:bCs/>
                <w:color w:val="000000"/>
                <w:sz w:val="24"/>
                <w:szCs w:val="24"/>
              </w:rPr>
            </w:pPr>
            <w:r w:rsidRPr="003E44F3">
              <w:rPr>
                <w:b/>
                <w:bCs/>
                <w:color w:val="000000"/>
                <w:sz w:val="24"/>
                <w:szCs w:val="24"/>
              </w:rPr>
              <w:lastRenderedPageBreak/>
              <w:t xml:space="preserve">2. Chi hỗ trợ các hoạt động phòng ngừa, theo khả năng cân đối của Quỹ </w:t>
            </w:r>
          </w:p>
          <w:p w:rsidR="00123ED2" w:rsidRPr="003E44F3" w:rsidRDefault="00123ED2" w:rsidP="003E44F3">
            <w:pPr>
              <w:spacing w:after="0" w:line="240" w:lineRule="auto"/>
              <w:jc w:val="both"/>
              <w:rPr>
                <w:bCs/>
                <w:color w:val="000000"/>
                <w:sz w:val="24"/>
                <w:szCs w:val="24"/>
              </w:rPr>
            </w:pPr>
            <w:r w:rsidRPr="003E44F3">
              <w:rPr>
                <w:bCs/>
                <w:color w:val="000000"/>
                <w:sz w:val="24"/>
                <w:szCs w:val="24"/>
              </w:rPr>
              <w:t xml:space="preserve">a) Chi hoạt động thông tin, truyền thông và giáo dục về phòng, chống thiên tai; chi phổ biến, tuyên truyền, giáo dục, tổ chức tập huấn, nâng cao nhận thức cho các lực lượng tham gia công tác phòng, chống thiên tai các cấp ở địa phương và cộng đồng: mức chi theo quy định tại Nghị quyết số 07/2024/NQ-HĐND ngày 18 tháng 7 năm 2024 của Hội đồng nhân dân tỉnh An Giang quy định mức chi bảo đảm cho công tác phổ biến, giáo dục pháp luật, chuẩn tiếp cận pháp luật và </w:t>
            </w:r>
            <w:r w:rsidRPr="003E44F3">
              <w:rPr>
                <w:bCs/>
                <w:color w:val="000000"/>
                <w:sz w:val="24"/>
                <w:szCs w:val="24"/>
              </w:rPr>
              <w:lastRenderedPageBreak/>
              <w:t>hòa giải ở cơ sở trên địa bàn tỉnh An Giang và các văn bản quy phạm pháp luật có liên quan.</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b) Chi lập, rà soát kế hoạch phòng, chống thiên tai và phương án ứng phó thiên tai theo cấp độ rủi ro thiên tai: mức chi theo quy định tại Nghị quyết số 27/2017/NQ-HĐND, Nghị quyết số 01/2018/NQ-HĐND ngày 19 tháng 7 năm 2018 của Hội đồng nhân dân tỉnh An Giang quy định nội dung chi và mức chi thực hiện các cuộc điều tra thống kê do ngân sách địa phương đảm bảo trên địa bàn tỉnh An Giang và các văn bản quy phạm pháp luật có liên quan.</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iCs/>
                <w:color w:val="000000"/>
                <w:sz w:val="24"/>
                <w:szCs w:val="24"/>
              </w:rPr>
            </w:pPr>
            <w:r w:rsidRPr="003E44F3">
              <w:rPr>
                <w:bCs/>
                <w:iCs/>
                <w:color w:val="000000"/>
                <w:sz w:val="24"/>
                <w:szCs w:val="24"/>
              </w:rPr>
              <w:t xml:space="preserve">c) Chi sắp xếp, di chuyển dân cư ra khỏi vùng thiên tai, nguy hiểm: đối với hộ phải di dời nhà ở theo quyết định của cơ quan có thẩm quyền do nguy cơ sạt lở, lũ, lụt, thiên tai được xem xét hỗ trợ </w:t>
            </w:r>
            <w:r w:rsidRPr="003E44F3">
              <w:rPr>
                <w:bCs/>
                <w:color w:val="000000"/>
                <w:sz w:val="24"/>
                <w:szCs w:val="24"/>
                <w:lang w:val="pt-BR"/>
              </w:rPr>
              <w:t xml:space="preserve">theo quy định tại khoản 2 Điều 15 </w:t>
            </w:r>
            <w:r w:rsidRPr="003E44F3">
              <w:rPr>
                <w:bCs/>
                <w:iCs/>
                <w:color w:val="000000"/>
                <w:sz w:val="24"/>
                <w:szCs w:val="24"/>
                <w:lang w:val="pt-BR"/>
              </w:rPr>
              <w:t xml:space="preserve">Nghị định số 20/2021/NĐ-CP </w:t>
            </w:r>
            <w:r w:rsidRPr="003E44F3">
              <w:rPr>
                <w:bCs/>
                <w:iCs/>
                <w:color w:val="000000"/>
                <w:sz w:val="24"/>
                <w:szCs w:val="24"/>
              </w:rPr>
              <w:t>và trong khả năng cân đối của Quỹ để xây dựng lại nhà ở nơi ở mới.</w:t>
            </w: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lastRenderedPageBreak/>
              <w:t>d) Chi diễn tập phòng, chống thiên tai ở các cấp (gồm: tiền ăn uống trong đợt diễn tập; mua sắm trang phục, mua sắm vật tư, trang thiết bị văn phòng, nhiên liệu; thuê phòng trọ; trang thiết bị phục vụ diễn tập): mức chi căn cứ dự toán theo tiêu chuẩn, định mức được cơ quan có thẩm quyền phê duyệt và khả năng cân đối của Quỹ nhưng không quá 1.000.000.000 đồng/đợt diễn tập/năm đối với cấp tỉnh, không quá 500.000.000 đồng/đợt diễn tập/năm đối với cấp huyện, không quá 200.000.000 đồng/đợt diễn tập/năm đối với cấp xã.</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 xml:space="preserve">đ) Chi mua bảo hiểm rủi ro thiên tai cho đối tượng tham gia lực lượng xung kích phòng, chống thiên tai cấp xã: mức chi theo hóa đơn, chứng từ hợp pháp và danh sách đề nghị được Ủy ban nhân dân cấp xã phê duyệt. </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 xml:space="preserve">e) Chi tập huấn và duy trì hoạt động cho các đối tượng tham gia hộ đê, lực lượng quản lý đê nhân dân, lực lượng xung kích phòng, chống thiên tai cấp xã, tình nguyện viên phòng, chống thiên tai: </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Đối với người không hưởng lương từ ngân sách nhà nước trong thời gian được huy động làm nhiệm vụ phòng chống thiên tai, tham gia tập huấn, huấn luyện, diễn tập được hưởng trợ cấp ngày công lao động như sau:</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 xml:space="preserve">Người được huy động tập huấn, huấn luyện, diễn tập: mức chi </w:t>
            </w:r>
            <w:r w:rsidRPr="003E44F3">
              <w:rPr>
                <w:bCs/>
                <w:color w:val="000000"/>
                <w:sz w:val="24"/>
                <w:szCs w:val="24"/>
                <w:u w:val="single"/>
              </w:rPr>
              <w:t>100.000 đồng/người/ngày</w:t>
            </w:r>
            <w:r w:rsidRPr="003E44F3">
              <w:rPr>
                <w:bCs/>
                <w:color w:val="000000"/>
                <w:sz w:val="24"/>
                <w:szCs w:val="24"/>
              </w:rPr>
              <w:t>.</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 xml:space="preserve">Người được huy động làm nhiệm vụ phòng chống </w:t>
            </w:r>
            <w:r w:rsidRPr="003E44F3">
              <w:rPr>
                <w:bCs/>
                <w:color w:val="000000"/>
                <w:sz w:val="24"/>
                <w:szCs w:val="24"/>
              </w:rPr>
              <w:lastRenderedPageBreak/>
              <w:t xml:space="preserve">thiên tai: mức chi </w:t>
            </w:r>
            <w:r w:rsidRPr="003E44F3">
              <w:rPr>
                <w:bCs/>
                <w:color w:val="000000"/>
                <w:sz w:val="24"/>
                <w:szCs w:val="24"/>
                <w:u w:val="single"/>
              </w:rPr>
              <w:t>150.000 đồng/người/ngày</w:t>
            </w:r>
            <w:r w:rsidRPr="003E44F3">
              <w:rPr>
                <w:bCs/>
                <w:color w:val="000000"/>
                <w:sz w:val="24"/>
                <w:szCs w:val="24"/>
              </w:rPr>
              <w:t>.</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 xml:space="preserve">Người được huy động huấn luyện, diễn tập và làm nhiệm vụ phòng chống thiên tai vào ban đêm (từ 22 giờ ngày hôm trước đến 06 giờ ngày hôm sau): </w:t>
            </w:r>
            <w:r w:rsidRPr="003E44F3">
              <w:rPr>
                <w:bCs/>
                <w:color w:val="000000"/>
                <w:sz w:val="24"/>
                <w:szCs w:val="24"/>
                <w:u w:val="single"/>
              </w:rPr>
              <w:t>mức chi gấp hai lần mức chi quy định tại điểm này</w:t>
            </w:r>
            <w:r w:rsidRPr="003E44F3">
              <w:rPr>
                <w:bCs/>
                <w:color w:val="000000"/>
                <w:sz w:val="24"/>
                <w:szCs w:val="24"/>
              </w:rPr>
              <w:t>.</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u w:val="single"/>
              </w:rPr>
            </w:pPr>
            <w:r w:rsidRPr="003E44F3">
              <w:rPr>
                <w:bCs/>
                <w:color w:val="000000"/>
                <w:sz w:val="24"/>
                <w:szCs w:val="24"/>
              </w:rPr>
              <w:t xml:space="preserve">Khi tập huấn, huấn luyện, diễn tập, làm nhiệm vụ phòng chống thiên tai cách xa nơi cư trú, không có điều kiện đi, về hàng ngày thì được bố trí chỗ nghỉ, hỗ trợ phương tiện, đi lại hoặc thanh toán tiền tàu xe một lần đi và về như cán bộ, công chức cấp xã và được hỗ trợ tiền ăn </w:t>
            </w:r>
            <w:r w:rsidRPr="003E44F3">
              <w:rPr>
                <w:bCs/>
                <w:color w:val="000000"/>
                <w:sz w:val="24"/>
                <w:szCs w:val="24"/>
                <w:u w:val="single"/>
              </w:rPr>
              <w:t>100.000 đồng/người/ngày.</w:t>
            </w:r>
          </w:p>
          <w:p w:rsidR="00123ED2" w:rsidRPr="003E44F3" w:rsidRDefault="00123ED2" w:rsidP="003E44F3">
            <w:pPr>
              <w:spacing w:after="0" w:line="240" w:lineRule="auto"/>
              <w:jc w:val="both"/>
              <w:rPr>
                <w:bCs/>
                <w:color w:val="000000"/>
                <w:sz w:val="24"/>
                <w:szCs w:val="24"/>
                <w:u w:val="single"/>
              </w:rPr>
            </w:pPr>
          </w:p>
          <w:p w:rsidR="00123ED2" w:rsidRPr="003E44F3" w:rsidRDefault="00123ED2" w:rsidP="003E44F3">
            <w:pPr>
              <w:spacing w:after="0" w:line="240" w:lineRule="auto"/>
              <w:jc w:val="both"/>
              <w:rPr>
                <w:bCs/>
                <w:color w:val="000000"/>
                <w:sz w:val="24"/>
                <w:szCs w:val="24"/>
                <w:u w:val="single"/>
              </w:rPr>
            </w:pPr>
          </w:p>
          <w:p w:rsidR="00123ED2" w:rsidRPr="003E44F3" w:rsidRDefault="00123ED2" w:rsidP="003E44F3">
            <w:pPr>
              <w:spacing w:after="0" w:line="240" w:lineRule="auto"/>
              <w:jc w:val="both"/>
              <w:rPr>
                <w:bCs/>
                <w:color w:val="000000"/>
                <w:sz w:val="24"/>
                <w:szCs w:val="24"/>
                <w:u w:val="single"/>
              </w:rPr>
            </w:pPr>
          </w:p>
          <w:p w:rsidR="00123ED2" w:rsidRPr="003E44F3" w:rsidRDefault="00123ED2" w:rsidP="003E44F3">
            <w:pPr>
              <w:spacing w:after="0" w:line="240" w:lineRule="auto"/>
              <w:jc w:val="both"/>
              <w:rPr>
                <w:bCs/>
                <w:color w:val="000000"/>
                <w:sz w:val="24"/>
                <w:szCs w:val="24"/>
              </w:rPr>
            </w:pPr>
          </w:p>
          <w:p w:rsidR="00123ED2" w:rsidRDefault="00123ED2" w:rsidP="003E44F3">
            <w:pPr>
              <w:spacing w:after="0" w:line="240" w:lineRule="auto"/>
              <w:jc w:val="both"/>
              <w:rPr>
                <w:bCs/>
                <w:color w:val="000000"/>
                <w:sz w:val="24"/>
                <w:szCs w:val="24"/>
              </w:rPr>
            </w:pPr>
            <w:r w:rsidRPr="003E44F3">
              <w:rPr>
                <w:bCs/>
                <w:color w:val="000000"/>
                <w:sz w:val="24"/>
                <w:szCs w:val="24"/>
              </w:rPr>
              <w:t>g) Chi xây dựng công cụ, phần mềm, quan trắc, thông tin, dự báo, cảnh báo thiên tai tại cộng đồng: mức chi theo chủ trương, hợp đồng, hóa đơn, chứng từ hợp pháp theo quy định của pháp luật.</w:t>
            </w:r>
          </w:p>
          <w:p w:rsidR="001919B3" w:rsidRPr="003E44F3" w:rsidRDefault="001919B3"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h) Chi mua sắm, đầu tư phương tiện, trang thiết bị phục vụ công tác phòng, chống thiên tai: mức chi theo quy định tiêu chuẩn, định mức sử dụng vật tư, phương tiện, trang thiết bị phòng, chống thiên tai do cơ quan cấp thẩm quyền phê duyệt.</w:t>
            </w:r>
          </w:p>
          <w:p w:rsidR="00123ED2" w:rsidRPr="003E44F3" w:rsidRDefault="00123ED2" w:rsidP="003E44F3">
            <w:pPr>
              <w:spacing w:after="0" w:line="240" w:lineRule="auto"/>
              <w:jc w:val="both"/>
              <w:rPr>
                <w:b/>
                <w:bCs/>
                <w:color w:val="000000"/>
                <w:sz w:val="24"/>
                <w:szCs w:val="24"/>
              </w:rPr>
            </w:pPr>
          </w:p>
        </w:tc>
        <w:tc>
          <w:tcPr>
            <w:tcW w:w="1822" w:type="pct"/>
          </w:tcPr>
          <w:p w:rsidR="00123ED2" w:rsidRPr="003E44F3" w:rsidRDefault="00123ED2" w:rsidP="003E44F3">
            <w:pPr>
              <w:spacing w:after="0" w:line="240" w:lineRule="auto"/>
              <w:jc w:val="both"/>
              <w:rPr>
                <w:b/>
                <w:color w:val="000000"/>
                <w:sz w:val="24"/>
                <w:szCs w:val="24"/>
              </w:rPr>
            </w:pPr>
            <w:r w:rsidRPr="003E44F3">
              <w:rPr>
                <w:b/>
                <w:color w:val="000000"/>
                <w:sz w:val="24"/>
                <w:szCs w:val="24"/>
              </w:rPr>
              <w:lastRenderedPageBreak/>
              <w:t xml:space="preserve">Điều 4. </w:t>
            </w:r>
            <w:r w:rsidRPr="003E44F3">
              <w:rPr>
                <w:b/>
                <w:color w:val="000000"/>
                <w:sz w:val="24"/>
                <w:szCs w:val="24"/>
                <w:lang w:val="vi-VN"/>
              </w:rPr>
              <w:t>Nội dung chi và mức chi hỗ trợ các hoạt động phòng ngừa</w:t>
            </w:r>
            <w:r w:rsidRPr="003E44F3">
              <w:rPr>
                <w:b/>
                <w:color w:val="000000"/>
                <w:sz w:val="24"/>
                <w:szCs w:val="24"/>
              </w:rPr>
              <w:t xml:space="preserve"> thiên tai</w:t>
            </w:r>
          </w:p>
          <w:p w:rsidR="00123ED2" w:rsidRPr="003E44F3" w:rsidRDefault="00123ED2" w:rsidP="003E44F3">
            <w:pPr>
              <w:spacing w:after="0" w:line="240" w:lineRule="auto"/>
              <w:jc w:val="both"/>
              <w:rPr>
                <w:color w:val="000000"/>
                <w:sz w:val="24"/>
                <w:szCs w:val="24"/>
              </w:rPr>
            </w:pPr>
            <w:r w:rsidRPr="003E44F3">
              <w:rPr>
                <w:color w:val="000000"/>
                <w:sz w:val="24"/>
                <w:szCs w:val="24"/>
              </w:rPr>
              <w:t xml:space="preserve">1. Chi hoạt động thông tin, truyền thông và giáo dục về phòng, chống thiên tai: mức chi theo quy định tại Nghị quyết số 07/2024/NQ-HĐND ngày 18 tháng 7 năm 2024 của Hội đồng nhân dân tỉnh An Giang quy định mức chi bảo đảm cho công tác phổ biến, giáo dục pháp luật, chuẩn tiếp cận pháp luật và hòa giải ở cơ sở trên địa bàn tỉnh An Giang, </w:t>
            </w:r>
            <w:r w:rsidRPr="0085745C">
              <w:rPr>
                <w:color w:val="000000"/>
                <w:sz w:val="24"/>
                <w:szCs w:val="24"/>
              </w:rPr>
              <w:t xml:space="preserve">Thông tư số 03/2018/TT-BTTTT ngày 20 tháng 4 năm 2018 của Bộ trưởng Bộ Thông tin và Truyền thông ban hành định mức kinh tế kỹ thuật về </w:t>
            </w:r>
            <w:r w:rsidRPr="0085745C">
              <w:rPr>
                <w:color w:val="000000"/>
                <w:sz w:val="24"/>
                <w:szCs w:val="24"/>
              </w:rPr>
              <w:lastRenderedPageBreak/>
              <w:t>sản xuất chương trình truyền hình, các văn bản quy phạm pháp luật có liên quan và theo dự toán được cấp thẩm quyền quyết định.</w:t>
            </w:r>
          </w:p>
          <w:p w:rsidR="00123ED2" w:rsidRPr="003E44F3" w:rsidRDefault="00123ED2" w:rsidP="003E44F3">
            <w:pPr>
              <w:spacing w:after="0" w:line="240" w:lineRule="auto"/>
              <w:jc w:val="both"/>
              <w:rPr>
                <w:color w:val="000000"/>
                <w:sz w:val="24"/>
                <w:szCs w:val="24"/>
              </w:rPr>
            </w:pPr>
          </w:p>
          <w:p w:rsidR="00123ED2" w:rsidRPr="009C4667" w:rsidRDefault="00123ED2" w:rsidP="003E44F3">
            <w:pPr>
              <w:spacing w:after="0" w:line="240" w:lineRule="auto"/>
              <w:jc w:val="both"/>
              <w:rPr>
                <w:color w:val="000000"/>
                <w:sz w:val="24"/>
                <w:szCs w:val="24"/>
              </w:rPr>
            </w:pPr>
            <w:r w:rsidRPr="009C4667">
              <w:rPr>
                <w:color w:val="000000"/>
                <w:sz w:val="24"/>
                <w:szCs w:val="24"/>
              </w:rPr>
              <w:t>2. Chi lập, rà soát kế hoạch phòng, chống thiên tai và phương án ứng phó thiên tai theo cấp độ rủi ro thiên tai: mức chi theo dự toán được cấp có thẩm quyền quyết định và khả năng cân đối của Quỹ.</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919B3" w:rsidRDefault="001919B3" w:rsidP="003E44F3">
            <w:pPr>
              <w:spacing w:after="0" w:line="240" w:lineRule="auto"/>
              <w:jc w:val="both"/>
              <w:rPr>
                <w:iCs/>
                <w:color w:val="000000"/>
                <w:sz w:val="24"/>
                <w:szCs w:val="24"/>
              </w:rPr>
            </w:pPr>
          </w:p>
          <w:p w:rsidR="001919B3" w:rsidRDefault="001919B3" w:rsidP="003E44F3">
            <w:pPr>
              <w:spacing w:after="0" w:line="240" w:lineRule="auto"/>
              <w:jc w:val="both"/>
              <w:rPr>
                <w:iCs/>
                <w:color w:val="000000"/>
                <w:sz w:val="24"/>
                <w:szCs w:val="24"/>
              </w:rPr>
            </w:pPr>
          </w:p>
          <w:p w:rsidR="00123ED2" w:rsidRPr="009C4667" w:rsidRDefault="00123ED2" w:rsidP="003E44F3">
            <w:pPr>
              <w:spacing w:after="0" w:line="240" w:lineRule="auto"/>
              <w:jc w:val="both"/>
              <w:rPr>
                <w:iCs/>
                <w:color w:val="000000"/>
                <w:sz w:val="24"/>
                <w:szCs w:val="24"/>
              </w:rPr>
            </w:pPr>
            <w:r w:rsidRPr="009C4667">
              <w:rPr>
                <w:iCs/>
                <w:color w:val="000000"/>
                <w:sz w:val="24"/>
                <w:szCs w:val="24"/>
              </w:rPr>
              <w:t xml:space="preserve">3. Chi sắp xếp, di chuyển dân cư ra khỏi vùng thiên tai, nguy hiểm: Hỗ trợ 30.000.000 đồng/hộ đối với hộ phải di dời nhà ở theo quyết định của cơ quan có thẩm quyền do nguy cơ sạt lở, lũ, lụt, thiên tai </w:t>
            </w:r>
            <w:r w:rsidRPr="009C4667">
              <w:rPr>
                <w:color w:val="000000"/>
                <w:sz w:val="24"/>
                <w:szCs w:val="24"/>
                <w:lang w:val="pt-BR"/>
              </w:rPr>
              <w:t xml:space="preserve">theo quy định tại khoản 2 Điều 15 </w:t>
            </w:r>
            <w:r w:rsidRPr="009C4667">
              <w:rPr>
                <w:iCs/>
                <w:color w:val="000000"/>
                <w:sz w:val="24"/>
                <w:szCs w:val="24"/>
                <w:lang w:val="pt-BR"/>
              </w:rPr>
              <w:t xml:space="preserve">Nghị định số 20/2021/NĐ-CP </w:t>
            </w:r>
            <w:r w:rsidRPr="009C4667">
              <w:rPr>
                <w:iCs/>
                <w:color w:val="000000"/>
                <w:sz w:val="24"/>
                <w:szCs w:val="24"/>
              </w:rPr>
              <w:t>và trong khả năng cân đối của Quỹ.</w:t>
            </w:r>
          </w:p>
          <w:p w:rsidR="00123ED2" w:rsidRPr="003E44F3" w:rsidRDefault="00123ED2" w:rsidP="003E44F3">
            <w:pPr>
              <w:spacing w:after="0" w:line="240" w:lineRule="auto"/>
              <w:jc w:val="both"/>
              <w:rPr>
                <w:iCs/>
                <w:color w:val="000000"/>
                <w:sz w:val="24"/>
                <w:szCs w:val="24"/>
              </w:rPr>
            </w:pPr>
          </w:p>
          <w:p w:rsidR="00123ED2" w:rsidRPr="009C4667" w:rsidRDefault="00123ED2" w:rsidP="003E44F3">
            <w:pPr>
              <w:spacing w:after="0" w:line="240" w:lineRule="auto"/>
              <w:jc w:val="both"/>
              <w:rPr>
                <w:color w:val="000000"/>
                <w:sz w:val="24"/>
                <w:szCs w:val="24"/>
              </w:rPr>
            </w:pPr>
            <w:r w:rsidRPr="009C4667">
              <w:rPr>
                <w:color w:val="000000"/>
                <w:sz w:val="24"/>
                <w:szCs w:val="24"/>
              </w:rPr>
              <w:t>4. Chi phổ biến, tuyên truyền, giáo dục, tổ chức tập huấn, nâng cao nhận thức cho các lực lượng tham gia công tác phòng, chống thiên tai các cấp ở địa phương và cộng đồng: mức chi theo quy định tại Nghị quyết số 05/2025/NQ-HĐND ngày 26 tháng 9 năm 2025 của Hội đồng nhân dân tỉnh An Giang quy định mức chi công tác phí, chi hội nghị trên địa bàn tỉnh An Giang; Nghị quyết số 07/2024/NQ-HĐND ngày 18 tháng 7 năm 2024 của Hội đồng nhân dân tỉnh An Giang quy định mức chi bảo đảm cho công tác phổ biến, giáo dục pháp luật, chuẩn tiếp cận pháp luật và hòa giải ở cơ sở trên địa bàn tỉnh An Giang và các văn bản quy phạm pháp luật có liên quan và theo dự toán được cấp thẩm quyền quyết định.</w:t>
            </w:r>
          </w:p>
          <w:p w:rsidR="00123ED2" w:rsidRPr="003E44F3" w:rsidRDefault="00123ED2" w:rsidP="003E44F3">
            <w:pPr>
              <w:spacing w:after="0" w:line="240" w:lineRule="auto"/>
              <w:jc w:val="both"/>
              <w:rPr>
                <w:color w:val="000000"/>
                <w:sz w:val="24"/>
                <w:szCs w:val="24"/>
              </w:rPr>
            </w:pPr>
            <w:r w:rsidRPr="003E44F3">
              <w:rPr>
                <w:color w:val="000000"/>
                <w:sz w:val="24"/>
                <w:szCs w:val="24"/>
              </w:rPr>
              <w:lastRenderedPageBreak/>
              <w:t>5. Chi diễn tập phòng, chống thiên tai ở các cấp: Mức chi căn cứ dự toán theo tiêu chuẩn, định mức được cơ quan có thẩm quyền phê duyệt và khả năng cân đối của Quỹ, nhưng không quá 1.000.000.000 đồng/đợt diễn tập/năm đối với diễn tập phòng, chống thiên tai cấp tỉnh, không quá 300.000.000 đồng/đợt diễn tập/năm đối với diễn tập phòng, chống thiên tai cấp xã.</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r w:rsidRPr="003E44F3">
              <w:rPr>
                <w:color w:val="000000"/>
                <w:sz w:val="24"/>
                <w:szCs w:val="24"/>
              </w:rPr>
              <w:t>6. Chi mua bảo hiểm rủi ro thiên tai cho đối tượng tham gia lực lượng xung kích phòng, chống thiên tai cấp xã: Mức chi theo dự toán hàng n</w:t>
            </w:r>
            <w:r w:rsidRPr="003E44F3">
              <w:rPr>
                <w:rFonts w:hint="eastAsia"/>
                <w:color w:val="000000"/>
                <w:sz w:val="24"/>
                <w:szCs w:val="24"/>
              </w:rPr>
              <w:t>ă</w:t>
            </w:r>
            <w:r w:rsidRPr="003E44F3">
              <w:rPr>
                <w:color w:val="000000"/>
                <w:sz w:val="24"/>
                <w:szCs w:val="24"/>
              </w:rPr>
              <w:t xml:space="preserve">m </w:t>
            </w:r>
            <w:r w:rsidRPr="003E44F3">
              <w:rPr>
                <w:rFonts w:hint="eastAsia"/>
                <w:color w:val="000000"/>
                <w:sz w:val="24"/>
                <w:szCs w:val="24"/>
              </w:rPr>
              <w:t>đư</w:t>
            </w:r>
            <w:r w:rsidRPr="003E44F3">
              <w:rPr>
                <w:color w:val="000000"/>
                <w:sz w:val="24"/>
                <w:szCs w:val="24"/>
              </w:rPr>
              <w:t>ợc các c</w:t>
            </w:r>
            <w:r w:rsidRPr="003E44F3">
              <w:rPr>
                <w:rFonts w:hint="eastAsia"/>
                <w:color w:val="000000"/>
                <w:sz w:val="24"/>
                <w:szCs w:val="24"/>
              </w:rPr>
              <w:t>ơ</w:t>
            </w:r>
            <w:r w:rsidRPr="003E44F3">
              <w:rPr>
                <w:color w:val="000000"/>
                <w:sz w:val="24"/>
                <w:szCs w:val="24"/>
              </w:rPr>
              <w:t xml:space="preserve"> quan có thẩm quyền phê duyệt và khả n</w:t>
            </w:r>
            <w:r w:rsidRPr="003E44F3">
              <w:rPr>
                <w:rFonts w:hint="eastAsia"/>
                <w:color w:val="000000"/>
                <w:sz w:val="24"/>
                <w:szCs w:val="24"/>
              </w:rPr>
              <w:t>ă</w:t>
            </w:r>
            <w:r w:rsidRPr="003E44F3">
              <w:rPr>
                <w:color w:val="000000"/>
                <w:sz w:val="24"/>
                <w:szCs w:val="24"/>
              </w:rPr>
              <w:t xml:space="preserve">ng cân </w:t>
            </w:r>
            <w:r w:rsidRPr="003E44F3">
              <w:rPr>
                <w:rFonts w:hint="eastAsia"/>
                <w:color w:val="000000"/>
                <w:sz w:val="24"/>
                <w:szCs w:val="24"/>
              </w:rPr>
              <w:t>đ</w:t>
            </w:r>
            <w:r w:rsidRPr="003E44F3">
              <w:rPr>
                <w:color w:val="000000"/>
                <w:sz w:val="24"/>
                <w:szCs w:val="24"/>
              </w:rPr>
              <w:t xml:space="preserve">ối của Quỹ. </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r w:rsidRPr="003E44F3">
              <w:rPr>
                <w:color w:val="000000"/>
                <w:sz w:val="24"/>
                <w:szCs w:val="24"/>
              </w:rPr>
              <w:t xml:space="preserve">7. Chi tập huấn và duy trì hoạt động cho các đối tượng tham gia hộ đê, lực lượng quản lý đê nhân dân, lực lượng xung kích phòng, chống thiên tai cấp xã, tình nguyện viên phòng, chống thiên tai: </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r w:rsidRPr="003E44F3">
              <w:rPr>
                <w:color w:val="000000"/>
                <w:sz w:val="24"/>
                <w:szCs w:val="24"/>
              </w:rPr>
              <w:t>Đối với người không hưởng lương từ ngân sách nhà nước trong thời gian được huy động làm nhiệm vụ phòng chống thiên tai, tham gia tập huấn, huấn luyện, diễn tập được hưởng trợ cấp ngày công lao động theo quy định tại Điều 12 Nghị định số 53/2026/NĐ-CP của Chính phủ sửa đổi, bổ sung một số điều của các Nghị định trong lĩnh vực đê điều và phòng, chống thiên tai, như sau:</w:t>
            </w:r>
          </w:p>
          <w:p w:rsidR="00123ED2" w:rsidRPr="003E44F3" w:rsidRDefault="00123ED2" w:rsidP="003E44F3">
            <w:pPr>
              <w:spacing w:after="0" w:line="240" w:lineRule="auto"/>
              <w:jc w:val="both"/>
              <w:rPr>
                <w:color w:val="000000"/>
                <w:sz w:val="24"/>
                <w:szCs w:val="24"/>
              </w:rPr>
            </w:pPr>
            <w:r w:rsidRPr="003E44F3">
              <w:rPr>
                <w:color w:val="000000"/>
                <w:sz w:val="24"/>
                <w:szCs w:val="24"/>
              </w:rPr>
              <w:t xml:space="preserve">a) Người được huy động tập huấn, huấn luyện, diễn tập và làm nhiệm vụ phòng chống thiên tai được hưởng trợ cấp ngày công lao động bằng 327.600 đồng/người/ngày theo quy định tại khoàn 2, Điều 4 Nghị quyết số </w:t>
            </w:r>
            <w:r w:rsidRPr="003E44F3">
              <w:rPr>
                <w:color w:val="000000"/>
                <w:sz w:val="24"/>
                <w:szCs w:val="24"/>
              </w:rPr>
              <w:lastRenderedPageBreak/>
              <w:t>07/2025/NQ-HĐND ngày 26/9/2025 của Hội đồng Nhân dân tỉnh An Giang Quy định mức phụ cấp hằng tháng đối với ấp, khu, khóm đội trưởng và mức trợ cấp ngày công lao động, mức trợ cấp tăng thêm đối với lực lượng Dân quân tự vệ trên địa bàn tỉnh An Giang.</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r w:rsidRPr="003E44F3">
              <w:rPr>
                <w:color w:val="000000"/>
                <w:sz w:val="24"/>
                <w:szCs w:val="24"/>
              </w:rPr>
              <w:t>b) Người được huy động huấn luyện, diễn tập và làm nhiệm vụ phòng chống thiên tai vào ban đêm (từ 22 giờ ngày hôm trước đến 06 giờ ngày hôm sau): mức chi được tính tăng thêm không thấp hơn 50% mức trợ cấp ngày công lao động hiện hưởng quy định tại điểm a khoản này, cụ thể là 163.800 đồng/người/ngày.</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r w:rsidRPr="003E44F3">
              <w:rPr>
                <w:color w:val="000000"/>
                <w:sz w:val="24"/>
                <w:szCs w:val="24"/>
              </w:rPr>
              <w:t>c) Khi tập huấn, huấn luyện, diễn tập và làm nhiệm vụ phòng chống thiên tai cách xa nơi cư trú, không có điều kiện đi, về hàng ngày thì được bố trí chỗ nghỉ, hỗ trợ phương tiện, đi lại hoặc thanh toán tiền tàu xe một lần đi và về như cán bộ, công chức cấp xã và được hỗ trợ tiền ăn 150.000 đồng/người/ngày theo quy định tại điểm b khoản 4 Điều 3 của Nghị quyết số 05/2025/NQ-HĐND ngày 26/9/2025 Quy định mức chi công tác phí, chi hội nghị trên địa bàn tỉnh An Giang.</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r w:rsidRPr="003E44F3">
              <w:rPr>
                <w:color w:val="000000"/>
                <w:sz w:val="24"/>
                <w:szCs w:val="24"/>
              </w:rPr>
              <w:t xml:space="preserve">8. Chi xây dựng công cụ, phần mềm, quan trắc, thông tin, dự báo, cảnh báo thiên tai tại cộng đồng: mức chi theo dự toán </w:t>
            </w:r>
            <w:r w:rsidRPr="003E44F3">
              <w:rPr>
                <w:rFonts w:hint="eastAsia"/>
                <w:color w:val="000000"/>
                <w:sz w:val="24"/>
                <w:szCs w:val="24"/>
              </w:rPr>
              <w:t>đư</w:t>
            </w:r>
            <w:r w:rsidRPr="003E44F3">
              <w:rPr>
                <w:color w:val="000000"/>
                <w:sz w:val="24"/>
                <w:szCs w:val="24"/>
              </w:rPr>
              <w:t xml:space="preserve">ợc cấp có thẩm quyền quyết </w:t>
            </w:r>
            <w:r w:rsidRPr="003E44F3">
              <w:rPr>
                <w:rFonts w:hint="eastAsia"/>
                <w:color w:val="000000"/>
                <w:sz w:val="24"/>
                <w:szCs w:val="24"/>
              </w:rPr>
              <w:t>đ</w:t>
            </w:r>
            <w:r w:rsidRPr="003E44F3">
              <w:rPr>
                <w:color w:val="000000"/>
                <w:sz w:val="24"/>
                <w:szCs w:val="24"/>
              </w:rPr>
              <w:t>ịnh và khả n</w:t>
            </w:r>
            <w:r w:rsidRPr="003E44F3">
              <w:rPr>
                <w:rFonts w:hint="eastAsia"/>
                <w:color w:val="000000"/>
                <w:sz w:val="24"/>
                <w:szCs w:val="24"/>
              </w:rPr>
              <w:t>ă</w:t>
            </w:r>
            <w:r w:rsidRPr="003E44F3">
              <w:rPr>
                <w:color w:val="000000"/>
                <w:sz w:val="24"/>
                <w:szCs w:val="24"/>
              </w:rPr>
              <w:t xml:space="preserve">ng cân </w:t>
            </w:r>
            <w:r w:rsidRPr="003E44F3">
              <w:rPr>
                <w:rFonts w:hint="eastAsia"/>
                <w:color w:val="000000"/>
                <w:sz w:val="24"/>
                <w:szCs w:val="24"/>
              </w:rPr>
              <w:t>đ</w:t>
            </w:r>
            <w:r w:rsidRPr="003E44F3">
              <w:rPr>
                <w:color w:val="000000"/>
                <w:sz w:val="24"/>
                <w:szCs w:val="24"/>
              </w:rPr>
              <w:t>ối của Quỹ.</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b/>
                <w:color w:val="000000"/>
                <w:sz w:val="24"/>
                <w:szCs w:val="24"/>
              </w:rPr>
            </w:pPr>
            <w:r w:rsidRPr="003E44F3">
              <w:rPr>
                <w:color w:val="000000"/>
                <w:sz w:val="24"/>
                <w:szCs w:val="24"/>
              </w:rPr>
              <w:t xml:space="preserve">9. Chi mua sắm, đầu tư phương tiện, trang thiết bị phục vụ công tác phòng, chống thiên tai: </w:t>
            </w:r>
            <w:r w:rsidRPr="003E44F3">
              <w:rPr>
                <w:color w:val="000000"/>
                <w:sz w:val="24"/>
                <w:szCs w:val="24"/>
                <w:lang w:val="vi-VN"/>
              </w:rPr>
              <w:t xml:space="preserve">thực hiện theo Quy định tiêu chuẩn, định mức sử dụng vật tư, phương tiện, trang thiết bị chuyên dùng phòng chống thiên tai theo Quyết định số 20/2021/QĐ-TTg của Thủ tướng Chính </w:t>
            </w:r>
            <w:r w:rsidRPr="003E44F3">
              <w:rPr>
                <w:color w:val="000000"/>
                <w:sz w:val="24"/>
                <w:szCs w:val="24"/>
                <w:lang w:val="vi-VN"/>
              </w:rPr>
              <w:lastRenderedPageBreak/>
              <w:t xml:space="preserve">phủ về ban hành danh mục và quy định việc quản lý, sử dụng vật tư, phương tiện, trang thiết bị chuyên dùng phòng, chống thiên tai </w:t>
            </w:r>
            <w:r w:rsidRPr="003E44F3">
              <w:rPr>
                <w:color w:val="000000"/>
                <w:sz w:val="24"/>
                <w:szCs w:val="24"/>
              </w:rPr>
              <w:t xml:space="preserve">và Quyết định số 1654/QĐ-UBND ngày 01/7/2022 của UBND tỉnh Kiên Giang </w:t>
            </w:r>
            <w:r w:rsidRPr="003E44F3">
              <w:rPr>
                <w:color w:val="000000"/>
                <w:sz w:val="24"/>
                <w:szCs w:val="24"/>
                <w:lang w:val="vi-VN"/>
              </w:rPr>
              <w:t xml:space="preserve">quy định tiêu chuẩn, định mức sử dụng vật tư, phương tiện, trang thiết bị chuyên dùng phòng, chống thiên tai </w:t>
            </w:r>
            <w:r w:rsidRPr="003E44F3">
              <w:rPr>
                <w:color w:val="000000"/>
                <w:sz w:val="24"/>
                <w:szCs w:val="24"/>
              </w:rPr>
              <w:t xml:space="preserve">của các cơ quan, tổ chức thuộc phạm vi quản lý </w:t>
            </w:r>
            <w:r w:rsidRPr="003E44F3">
              <w:rPr>
                <w:color w:val="000000"/>
                <w:sz w:val="24"/>
                <w:szCs w:val="24"/>
                <w:lang w:val="vi-VN"/>
              </w:rPr>
              <w:t xml:space="preserve">trên địa bàn </w:t>
            </w:r>
            <w:r w:rsidRPr="003E44F3">
              <w:rPr>
                <w:color w:val="000000"/>
                <w:sz w:val="24"/>
                <w:szCs w:val="24"/>
              </w:rPr>
              <w:t>tỉnh Kiên Giang và theo dự toán được cấp thẩm quyền quyết định.</w:t>
            </w:r>
          </w:p>
        </w:tc>
        <w:tc>
          <w:tcPr>
            <w:tcW w:w="1412" w:type="pct"/>
          </w:tcPr>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r w:rsidRPr="003E44F3">
              <w:rPr>
                <w:color w:val="000000"/>
                <w:sz w:val="24"/>
                <w:szCs w:val="24"/>
              </w:rPr>
              <w:t xml:space="preserve">Tách nội dung chi phổ biến, tuyên truyền, giáo dục, tổ chức tập huấn </w:t>
            </w:r>
            <w:r w:rsidRPr="003E44F3">
              <w:rPr>
                <w:bCs/>
                <w:color w:val="000000"/>
                <w:sz w:val="24"/>
                <w:szCs w:val="24"/>
              </w:rPr>
              <w:t>nâng cao nhận thức cho các lực lượng tham gia công tác phòng, chống thiên tai các cấp ở địa phương và cộng đồng tại điểm a khoản 2</w:t>
            </w:r>
            <w:r w:rsidRPr="003E44F3">
              <w:rPr>
                <w:color w:val="000000"/>
                <w:sz w:val="24"/>
                <w:szCs w:val="24"/>
                <w:lang w:val="vi-VN"/>
              </w:rPr>
              <w:t xml:space="preserve"> Điều </w:t>
            </w:r>
            <w:r w:rsidRPr="003E44F3">
              <w:rPr>
                <w:color w:val="000000"/>
                <w:sz w:val="24"/>
                <w:szCs w:val="24"/>
              </w:rPr>
              <w:t>2</w:t>
            </w:r>
            <w:r w:rsidRPr="003E44F3">
              <w:rPr>
                <w:color w:val="000000"/>
                <w:sz w:val="24"/>
                <w:szCs w:val="24"/>
                <w:lang w:val="vi-VN"/>
              </w:rPr>
              <w:t xml:space="preserve"> của</w:t>
            </w:r>
            <w:r w:rsidRPr="003E44F3">
              <w:rPr>
                <w:color w:val="000000"/>
                <w:sz w:val="24"/>
                <w:szCs w:val="24"/>
              </w:rPr>
              <w:t xml:space="preserve"> Q</w:t>
            </w:r>
            <w:r w:rsidRPr="003E44F3">
              <w:rPr>
                <w:color w:val="000000"/>
                <w:sz w:val="24"/>
                <w:szCs w:val="24"/>
                <w:lang w:val="it-IT"/>
              </w:rPr>
              <w:t>uyết định số 47/2025/QĐ-UBND thành khoản 4 Điều 4 của dự thảo Quyết định thay thế và b</w:t>
            </w:r>
            <w:r w:rsidRPr="003E44F3">
              <w:rPr>
                <w:color w:val="000000"/>
                <w:sz w:val="24"/>
                <w:szCs w:val="24"/>
              </w:rPr>
              <w:t>ổ sung thêm căn cứ pháp lý</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9C4667" w:rsidRDefault="00123ED2" w:rsidP="003E44F3">
            <w:pPr>
              <w:spacing w:after="0" w:line="240" w:lineRule="auto"/>
              <w:jc w:val="both"/>
              <w:rPr>
                <w:sz w:val="24"/>
                <w:szCs w:val="24"/>
                <w:lang w:val="vi-VN"/>
              </w:rPr>
            </w:pPr>
            <w:r w:rsidRPr="003E44F3">
              <w:rPr>
                <w:color w:val="000000"/>
                <w:sz w:val="24"/>
                <w:szCs w:val="24"/>
                <w:lang w:val="vi-VN"/>
              </w:rPr>
              <w:t xml:space="preserve"> </w:t>
            </w:r>
            <w:r w:rsidRPr="009C4667">
              <w:rPr>
                <w:color w:val="000000"/>
                <w:sz w:val="24"/>
                <w:szCs w:val="24"/>
                <w:lang w:val="vi-VN"/>
              </w:rPr>
              <w:t xml:space="preserve">Tại khoản 2 Điều 4 của </w:t>
            </w:r>
            <w:r w:rsidRPr="003E44F3">
              <w:rPr>
                <w:color w:val="000000"/>
                <w:sz w:val="24"/>
                <w:szCs w:val="24"/>
                <w:lang w:val="it-IT"/>
              </w:rPr>
              <w:t xml:space="preserve">dự thảo Quyết định thay thế </w:t>
            </w:r>
            <w:r w:rsidRPr="009C4667">
              <w:rPr>
                <w:sz w:val="24"/>
                <w:szCs w:val="24"/>
                <w:lang w:val="it-IT"/>
              </w:rPr>
              <w:t>có thay đổi, không quy định theo văn bản nào, do mức chi cho lập kế hoạch, phương án này căn cứ nhiều quy định pháp luật có liên quan, và cần phải có dự toán kinh phí lập cho từng phương án kế hoạch được cấp thẩm quyền quyết định.</w:t>
            </w:r>
          </w:p>
          <w:p w:rsidR="00123ED2" w:rsidRPr="009C4667" w:rsidRDefault="00123ED2" w:rsidP="003E44F3">
            <w:pPr>
              <w:spacing w:after="0" w:line="240" w:lineRule="auto"/>
              <w:jc w:val="both"/>
              <w:rPr>
                <w:sz w:val="24"/>
                <w:szCs w:val="24"/>
                <w:lang w:val="vi-VN"/>
              </w:rPr>
            </w:pPr>
          </w:p>
          <w:p w:rsidR="00123ED2" w:rsidRPr="009C4667" w:rsidRDefault="00123ED2" w:rsidP="003E44F3">
            <w:pPr>
              <w:spacing w:after="0" w:line="240" w:lineRule="auto"/>
              <w:jc w:val="both"/>
              <w:rPr>
                <w:color w:val="000000"/>
                <w:sz w:val="24"/>
                <w:szCs w:val="24"/>
                <w:lang w:val="vi-VN"/>
              </w:rPr>
            </w:pPr>
          </w:p>
          <w:p w:rsidR="001919B3" w:rsidRDefault="001919B3"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r w:rsidRPr="003E44F3">
              <w:rPr>
                <w:color w:val="000000"/>
                <w:sz w:val="24"/>
                <w:szCs w:val="24"/>
                <w:lang w:val="de-DE"/>
              </w:rPr>
              <w:t xml:space="preserve">Tại khoản 3 Điều 4 của </w:t>
            </w:r>
            <w:r w:rsidRPr="003E44F3">
              <w:rPr>
                <w:color w:val="000000"/>
                <w:sz w:val="24"/>
                <w:szCs w:val="24"/>
                <w:lang w:val="it-IT"/>
              </w:rPr>
              <w:t xml:space="preserve">dự thảo Quyết định thay thế </w:t>
            </w:r>
            <w:r w:rsidRPr="003E44F3">
              <w:rPr>
                <w:color w:val="000000"/>
                <w:sz w:val="24"/>
                <w:szCs w:val="24"/>
                <w:lang w:val="de-DE"/>
              </w:rPr>
              <w:t xml:space="preserve">định mức hỗ trợ được quy định cụ thể ngay trong quyết định để thuận tiện cho việc áp dụng, thay vì phải tham chiếu văn bản khác </w:t>
            </w: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r w:rsidRPr="009C4667">
              <w:rPr>
                <w:color w:val="000000"/>
                <w:sz w:val="24"/>
                <w:szCs w:val="24"/>
                <w:lang w:val="vi-VN"/>
              </w:rPr>
              <w:t xml:space="preserve">Tách nội dung chi phổ biến, tuyên truyền, giáo dục, tổ chức tập huấn </w:t>
            </w:r>
            <w:r w:rsidRPr="009C4667">
              <w:rPr>
                <w:bCs/>
                <w:color w:val="000000"/>
                <w:sz w:val="24"/>
                <w:szCs w:val="24"/>
                <w:lang w:val="vi-VN"/>
              </w:rPr>
              <w:t>nâng cao nhận thức cho các lực lượng tham gia công tác phòng, chống thiên tai các cấp ở địa phương và cộng đồng tại điểm a khoản 2</w:t>
            </w:r>
            <w:r w:rsidRPr="003E44F3">
              <w:rPr>
                <w:color w:val="000000"/>
                <w:sz w:val="24"/>
                <w:szCs w:val="24"/>
                <w:lang w:val="vi-VN"/>
              </w:rPr>
              <w:t xml:space="preserve"> Điều </w:t>
            </w:r>
            <w:r w:rsidRPr="009C4667">
              <w:rPr>
                <w:color w:val="000000"/>
                <w:sz w:val="24"/>
                <w:szCs w:val="24"/>
                <w:lang w:val="vi-VN"/>
              </w:rPr>
              <w:t>2</w:t>
            </w:r>
            <w:r w:rsidRPr="003E44F3">
              <w:rPr>
                <w:color w:val="000000"/>
                <w:sz w:val="24"/>
                <w:szCs w:val="24"/>
                <w:lang w:val="vi-VN"/>
              </w:rPr>
              <w:t xml:space="preserve"> của</w:t>
            </w:r>
            <w:r w:rsidRPr="009C4667">
              <w:rPr>
                <w:color w:val="000000"/>
                <w:sz w:val="24"/>
                <w:szCs w:val="24"/>
                <w:lang w:val="vi-VN"/>
              </w:rPr>
              <w:t xml:space="preserve"> Q</w:t>
            </w:r>
            <w:r w:rsidRPr="003E44F3">
              <w:rPr>
                <w:color w:val="000000"/>
                <w:sz w:val="24"/>
                <w:szCs w:val="24"/>
                <w:lang w:val="it-IT"/>
              </w:rPr>
              <w:t>uyết định số 47/2025/QĐ-UBND thành khoản 4 Điều 4 của dự thảo Quyết định thay thế.</w:t>
            </w: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919B3" w:rsidRDefault="001919B3"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vi-VN"/>
              </w:rPr>
            </w:pPr>
            <w:r w:rsidRPr="003E44F3">
              <w:rPr>
                <w:color w:val="000000"/>
                <w:sz w:val="24"/>
                <w:szCs w:val="24"/>
                <w:lang w:val="de-DE"/>
              </w:rPr>
              <w:lastRenderedPageBreak/>
              <w:t xml:space="preserve">Tại khoản 5 Điều 4 </w:t>
            </w:r>
            <w:r w:rsidRPr="003E44F3">
              <w:rPr>
                <w:color w:val="000000"/>
                <w:sz w:val="24"/>
                <w:szCs w:val="24"/>
                <w:lang w:val="it-IT"/>
              </w:rPr>
              <w:t>dự thảo Quyết định thay thế b</w:t>
            </w:r>
            <w:r w:rsidRPr="003E44F3">
              <w:rPr>
                <w:color w:val="000000"/>
                <w:sz w:val="24"/>
                <w:szCs w:val="24"/>
                <w:lang w:val="de-DE"/>
              </w:rPr>
              <w:t xml:space="preserve">ỏ nội dung hỗ trợ diễn tập phòng chống thiên tai ở cấp huyện và nâng định mức chi cho cấp xã lên không quá </w:t>
            </w:r>
            <w:r w:rsidRPr="009C4667">
              <w:rPr>
                <w:color w:val="000000"/>
                <w:sz w:val="24"/>
                <w:szCs w:val="24"/>
                <w:lang w:val="vi-VN"/>
              </w:rPr>
              <w:t>300.000.000 đồng/đợt diễn tập/năm</w:t>
            </w:r>
            <w:r w:rsidRPr="003E44F3">
              <w:rPr>
                <w:color w:val="000000"/>
                <w:sz w:val="24"/>
                <w:szCs w:val="24"/>
                <w:lang w:val="de-DE"/>
              </w:rPr>
              <w:t>.</w:t>
            </w: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3E44F3" w:rsidRDefault="00123ED2" w:rsidP="003E44F3">
            <w:pPr>
              <w:spacing w:after="0" w:line="240" w:lineRule="auto"/>
              <w:jc w:val="both"/>
              <w:rPr>
                <w:color w:val="000000"/>
                <w:sz w:val="24"/>
                <w:szCs w:val="24"/>
                <w:lang w:val="it-IT"/>
              </w:rPr>
            </w:pPr>
            <w:r w:rsidRPr="009C4667">
              <w:rPr>
                <w:color w:val="000000"/>
                <w:sz w:val="24"/>
                <w:szCs w:val="24"/>
                <w:lang w:val="vi-VN"/>
              </w:rPr>
              <w:t xml:space="preserve">Nội chi tại khoản 6 Điều 4 của dự thảo Quyết định thay thế giữ nguyên so với </w:t>
            </w:r>
            <w:r w:rsidRPr="003E44F3">
              <w:rPr>
                <w:color w:val="000000"/>
                <w:sz w:val="24"/>
                <w:szCs w:val="24"/>
                <w:lang w:val="it-IT"/>
              </w:rPr>
              <w:t>Quyết định số 47/2025/QĐ-UBND</w:t>
            </w: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9C4667" w:rsidRDefault="00123ED2" w:rsidP="003E44F3">
            <w:pPr>
              <w:spacing w:after="0" w:line="240" w:lineRule="auto"/>
              <w:jc w:val="both"/>
              <w:rPr>
                <w:color w:val="000000"/>
                <w:sz w:val="24"/>
                <w:szCs w:val="24"/>
                <w:lang w:val="vi-VN"/>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r w:rsidRPr="003E44F3">
              <w:rPr>
                <w:color w:val="000000"/>
                <w:sz w:val="24"/>
                <w:szCs w:val="24"/>
                <w:lang w:val="it-IT"/>
              </w:rPr>
              <w:t>B</w:t>
            </w:r>
            <w:r w:rsidRPr="009C4667">
              <w:rPr>
                <w:color w:val="000000"/>
                <w:sz w:val="24"/>
                <w:szCs w:val="24"/>
                <w:lang w:val="it-IT"/>
              </w:rPr>
              <w:t xml:space="preserve">ổ sung thêm căn cứ mức chi tại khoản 7 Điều 4 </w:t>
            </w:r>
            <w:r w:rsidRPr="003E44F3">
              <w:rPr>
                <w:color w:val="000000"/>
                <w:sz w:val="24"/>
                <w:szCs w:val="24"/>
                <w:lang w:val="it-IT"/>
              </w:rPr>
              <w:t xml:space="preserve">dự thảo Quyết định thay thế </w:t>
            </w: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r w:rsidRPr="009C4667">
              <w:rPr>
                <w:color w:val="000000"/>
                <w:sz w:val="24"/>
                <w:szCs w:val="24"/>
                <w:lang w:val="it-IT"/>
              </w:rPr>
              <w:t xml:space="preserve">Tại </w:t>
            </w:r>
            <w:r w:rsidRPr="009C4667">
              <w:rPr>
                <w:sz w:val="24"/>
                <w:szCs w:val="24"/>
                <w:lang w:val="it-IT"/>
              </w:rPr>
              <w:t>điểm a, b, c</w:t>
            </w:r>
            <w:r w:rsidRPr="009C4667">
              <w:rPr>
                <w:color w:val="000000"/>
                <w:sz w:val="24"/>
                <w:szCs w:val="24"/>
                <w:lang w:val="it-IT"/>
              </w:rPr>
              <w:t xml:space="preserve"> khoản 7 Điều 4 </w:t>
            </w:r>
            <w:r w:rsidRPr="003E44F3">
              <w:rPr>
                <w:color w:val="000000"/>
                <w:sz w:val="24"/>
                <w:szCs w:val="24"/>
                <w:lang w:val="it-IT"/>
              </w:rPr>
              <w:t xml:space="preserve">dự thảo Quyết định thay thế: mức chi hỗ trợ tăng lên theo quy định </w:t>
            </w:r>
            <w:r w:rsidRPr="009C4667">
              <w:rPr>
                <w:color w:val="000000"/>
                <w:sz w:val="24"/>
                <w:szCs w:val="24"/>
                <w:lang w:val="it-IT"/>
              </w:rPr>
              <w:t>tại Điều 12 Nghị định số 53/2026/NĐ-CP của Chính phủ</w:t>
            </w: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r w:rsidRPr="009C4667">
              <w:rPr>
                <w:color w:val="000000"/>
                <w:sz w:val="24"/>
                <w:szCs w:val="24"/>
                <w:lang w:val="it-IT"/>
              </w:rPr>
              <w:t xml:space="preserve">Nội chi tại khoản 8 Điều 4 của dự thảo Quyết định thay thế giữ nguyên so với </w:t>
            </w:r>
            <w:r w:rsidRPr="003E44F3">
              <w:rPr>
                <w:color w:val="000000"/>
                <w:sz w:val="24"/>
                <w:szCs w:val="24"/>
                <w:lang w:val="it-IT"/>
              </w:rPr>
              <w:t>Quyết định số 47/2025/QĐ-UBND</w:t>
            </w:r>
          </w:p>
          <w:p w:rsidR="00123ED2" w:rsidRPr="009C4667" w:rsidRDefault="00123ED2"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p>
          <w:p w:rsidR="001919B3" w:rsidRDefault="001919B3" w:rsidP="003E44F3">
            <w:pPr>
              <w:spacing w:after="0" w:line="240" w:lineRule="auto"/>
              <w:jc w:val="both"/>
              <w:rPr>
                <w:color w:val="000000"/>
                <w:sz w:val="24"/>
                <w:szCs w:val="24"/>
                <w:lang w:val="it-IT"/>
              </w:rPr>
            </w:pPr>
          </w:p>
          <w:p w:rsidR="00123ED2" w:rsidRPr="009C4667" w:rsidRDefault="00123ED2" w:rsidP="003E44F3">
            <w:pPr>
              <w:spacing w:after="0" w:line="240" w:lineRule="auto"/>
              <w:jc w:val="both"/>
              <w:rPr>
                <w:color w:val="000000"/>
                <w:sz w:val="24"/>
                <w:szCs w:val="24"/>
                <w:lang w:val="it-IT"/>
              </w:rPr>
            </w:pPr>
            <w:r w:rsidRPr="009C4667">
              <w:rPr>
                <w:color w:val="000000"/>
                <w:sz w:val="24"/>
                <w:szCs w:val="24"/>
                <w:lang w:val="it-IT"/>
              </w:rPr>
              <w:t>Bổ sung căn cứ tại khoản 9 Điều 4 của dự thảo Quyết định thay thế so với Quyết định</w:t>
            </w:r>
          </w:p>
          <w:p w:rsidR="00123ED2" w:rsidRPr="003E44F3" w:rsidRDefault="00123ED2" w:rsidP="003E44F3">
            <w:pPr>
              <w:spacing w:after="0" w:line="240" w:lineRule="auto"/>
              <w:jc w:val="both"/>
              <w:rPr>
                <w:color w:val="000000"/>
                <w:sz w:val="24"/>
                <w:szCs w:val="24"/>
              </w:rPr>
            </w:pPr>
            <w:r w:rsidRPr="003E44F3">
              <w:rPr>
                <w:color w:val="000000"/>
                <w:sz w:val="24"/>
                <w:szCs w:val="24"/>
                <w:lang w:val="it-IT"/>
              </w:rPr>
              <w:t>số 47/2025/QĐ-UBND.</w:t>
            </w:r>
          </w:p>
        </w:tc>
      </w:tr>
      <w:tr w:rsidR="00123ED2" w:rsidRPr="003E44F3" w:rsidTr="003E44F3">
        <w:trPr>
          <w:gridBefore w:val="1"/>
        </w:trPr>
        <w:tc>
          <w:tcPr>
            <w:tcW w:w="1766" w:type="pct"/>
          </w:tcPr>
          <w:p w:rsidR="00123ED2" w:rsidRPr="003E44F3" w:rsidRDefault="00123ED2" w:rsidP="003E44F3">
            <w:pPr>
              <w:spacing w:after="0" w:line="240" w:lineRule="auto"/>
              <w:jc w:val="both"/>
              <w:rPr>
                <w:b/>
                <w:bCs/>
                <w:color w:val="000000"/>
                <w:sz w:val="24"/>
                <w:szCs w:val="24"/>
              </w:rPr>
            </w:pPr>
            <w:r w:rsidRPr="003E44F3">
              <w:rPr>
                <w:b/>
                <w:bCs/>
                <w:color w:val="000000"/>
                <w:sz w:val="24"/>
                <w:szCs w:val="24"/>
              </w:rPr>
              <w:lastRenderedPageBreak/>
              <w:t xml:space="preserve">3. Chi hỗ trợ các hoạt động ứng phó thiên tai, theo khả năng cân đối của Quỹ </w:t>
            </w:r>
          </w:p>
          <w:p w:rsidR="00123ED2" w:rsidRPr="003E44F3" w:rsidRDefault="00123ED2" w:rsidP="003E44F3">
            <w:pPr>
              <w:spacing w:after="0" w:line="240" w:lineRule="auto"/>
              <w:jc w:val="both"/>
              <w:rPr>
                <w:bCs/>
                <w:iCs/>
                <w:color w:val="000000"/>
                <w:sz w:val="24"/>
                <w:szCs w:val="24"/>
              </w:rPr>
            </w:pPr>
            <w:r w:rsidRPr="003E44F3">
              <w:rPr>
                <w:bCs/>
                <w:iCs/>
                <w:color w:val="000000"/>
                <w:sz w:val="24"/>
                <w:szCs w:val="24"/>
              </w:rPr>
              <w:t>a) Chi sơ tán dân khỏi nơi nguy hiểm; chăm sóc y tế, thực phẩm, nước uống cho người dân nơi sơ tán: mức chi tối đa 100.000 đồng/người/ngày căn cứ theo số ngày thực tế được sơ tán và danh sách sơ tán được cấp có thẩm quyền phê duyệt.</w:t>
            </w: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r w:rsidRPr="003E44F3">
              <w:rPr>
                <w:bCs/>
                <w:iCs/>
                <w:color w:val="000000"/>
                <w:sz w:val="24"/>
                <w:szCs w:val="24"/>
                <w:lang w:val="nl-NL"/>
              </w:rPr>
              <w:t>b)</w:t>
            </w:r>
            <w:r w:rsidRPr="003E44F3">
              <w:rPr>
                <w:bCs/>
                <w:iCs/>
                <w:color w:val="000000"/>
                <w:sz w:val="24"/>
                <w:szCs w:val="24"/>
              </w:rPr>
              <w:t xml:space="preserve"> Chi cho lực lượng tuần tra, kiểm tra phát hiện khu vực có nguy cơ xảy ra rủi ro thiên tai, sự cố công trình phòng chống thiên tai và các lực lượng được huy động tham gia ứng phó thiên tai: mức chi theo quy định tại điểm e khoản 2 Điều này.</w:t>
            </w:r>
          </w:p>
          <w:p w:rsidR="00123ED2" w:rsidRPr="003E44F3" w:rsidRDefault="00123ED2" w:rsidP="003E44F3">
            <w:pPr>
              <w:spacing w:after="0" w:line="240" w:lineRule="auto"/>
              <w:jc w:val="both"/>
              <w:rPr>
                <w:bCs/>
                <w:iCs/>
                <w:color w:val="000000"/>
                <w:sz w:val="24"/>
                <w:szCs w:val="24"/>
              </w:rPr>
            </w:pPr>
          </w:p>
          <w:p w:rsidR="00123ED2" w:rsidRPr="003E44F3" w:rsidRDefault="00123ED2" w:rsidP="003E44F3">
            <w:pPr>
              <w:spacing w:after="0" w:line="240" w:lineRule="auto"/>
              <w:jc w:val="both"/>
              <w:rPr>
                <w:bCs/>
                <w:iCs/>
                <w:color w:val="000000"/>
                <w:sz w:val="24"/>
                <w:szCs w:val="24"/>
              </w:rPr>
            </w:pPr>
            <w:r w:rsidRPr="003E44F3">
              <w:rPr>
                <w:bCs/>
                <w:iCs/>
                <w:color w:val="000000"/>
                <w:sz w:val="24"/>
                <w:szCs w:val="24"/>
              </w:rPr>
              <w:t>c) Hỗ trợ cho lực lượng thường trực trực ban, chỉ huy, chỉ đạo ứng phó thiên tai: mức chi theo quy định tại khoản 1 Điều 18 Nghị định số 30/2017/NĐ-CP.</w:t>
            </w:r>
          </w:p>
          <w:p w:rsidR="00123ED2" w:rsidRPr="003E44F3" w:rsidRDefault="00123ED2" w:rsidP="003E44F3">
            <w:pPr>
              <w:spacing w:after="0" w:line="240" w:lineRule="auto"/>
              <w:jc w:val="both"/>
              <w:rPr>
                <w:b/>
                <w:color w:val="000000"/>
                <w:sz w:val="24"/>
                <w:szCs w:val="24"/>
              </w:rPr>
            </w:pPr>
          </w:p>
        </w:tc>
        <w:tc>
          <w:tcPr>
            <w:tcW w:w="1822" w:type="pct"/>
          </w:tcPr>
          <w:p w:rsidR="00123ED2" w:rsidRPr="003E44F3" w:rsidRDefault="00123ED2" w:rsidP="003E44F3">
            <w:pPr>
              <w:spacing w:after="0" w:line="240" w:lineRule="auto"/>
              <w:jc w:val="both"/>
              <w:rPr>
                <w:b/>
                <w:color w:val="000000"/>
                <w:sz w:val="24"/>
                <w:szCs w:val="24"/>
              </w:rPr>
            </w:pPr>
            <w:bookmarkStart w:id="2" w:name="_Hlk184388687"/>
            <w:r w:rsidRPr="003E44F3">
              <w:rPr>
                <w:b/>
                <w:color w:val="000000"/>
                <w:sz w:val="24"/>
                <w:szCs w:val="24"/>
              </w:rPr>
              <w:t xml:space="preserve">Điều 5. Nội dung chi và mức chi hỗ trợ các hoạt động ứng phó thiên tai </w:t>
            </w:r>
          </w:p>
          <w:bookmarkEnd w:id="2"/>
          <w:p w:rsidR="00123ED2" w:rsidRPr="003E44F3" w:rsidRDefault="00123ED2" w:rsidP="003E44F3">
            <w:pPr>
              <w:spacing w:after="0" w:line="240" w:lineRule="auto"/>
              <w:jc w:val="both"/>
              <w:rPr>
                <w:iCs/>
                <w:color w:val="000000"/>
                <w:sz w:val="24"/>
                <w:szCs w:val="24"/>
              </w:rPr>
            </w:pPr>
            <w:r w:rsidRPr="003E44F3">
              <w:rPr>
                <w:iCs/>
                <w:color w:val="000000"/>
                <w:sz w:val="24"/>
                <w:szCs w:val="24"/>
              </w:rPr>
              <w:t xml:space="preserve">1. Sơ tán dân khỏi nơi nguy hiểm: </w:t>
            </w:r>
            <w:r w:rsidRPr="003E44F3">
              <w:rPr>
                <w:color w:val="000000"/>
                <w:sz w:val="24"/>
                <w:szCs w:val="24"/>
              </w:rPr>
              <w:t xml:space="preserve">mức chi theo dự toán </w:t>
            </w:r>
            <w:r w:rsidRPr="003E44F3">
              <w:rPr>
                <w:rFonts w:hint="eastAsia"/>
                <w:color w:val="000000"/>
                <w:sz w:val="24"/>
                <w:szCs w:val="24"/>
              </w:rPr>
              <w:t>đư</w:t>
            </w:r>
            <w:r w:rsidRPr="003E44F3">
              <w:rPr>
                <w:color w:val="000000"/>
                <w:sz w:val="24"/>
                <w:szCs w:val="24"/>
              </w:rPr>
              <w:t xml:space="preserve">ợc cấp có thẩm quyền quyết </w:t>
            </w:r>
            <w:r w:rsidRPr="003E44F3">
              <w:rPr>
                <w:rFonts w:hint="eastAsia"/>
                <w:color w:val="000000"/>
                <w:sz w:val="24"/>
                <w:szCs w:val="24"/>
              </w:rPr>
              <w:t>đ</w:t>
            </w:r>
            <w:r w:rsidRPr="003E44F3">
              <w:rPr>
                <w:color w:val="000000"/>
                <w:sz w:val="24"/>
                <w:szCs w:val="24"/>
              </w:rPr>
              <w:t>ịnh và khả n</w:t>
            </w:r>
            <w:r w:rsidRPr="003E44F3">
              <w:rPr>
                <w:rFonts w:hint="eastAsia"/>
                <w:color w:val="000000"/>
                <w:sz w:val="24"/>
                <w:szCs w:val="24"/>
              </w:rPr>
              <w:t>ă</w:t>
            </w:r>
            <w:r w:rsidRPr="003E44F3">
              <w:rPr>
                <w:color w:val="000000"/>
                <w:sz w:val="24"/>
                <w:szCs w:val="24"/>
              </w:rPr>
              <w:t xml:space="preserve">ng cân </w:t>
            </w:r>
            <w:r w:rsidRPr="003E44F3">
              <w:rPr>
                <w:rFonts w:hint="eastAsia"/>
                <w:color w:val="000000"/>
                <w:sz w:val="24"/>
                <w:szCs w:val="24"/>
              </w:rPr>
              <w:t>đ</w:t>
            </w:r>
            <w:r w:rsidRPr="003E44F3">
              <w:rPr>
                <w:color w:val="000000"/>
                <w:sz w:val="24"/>
                <w:szCs w:val="24"/>
              </w:rPr>
              <w:t>ối của Quỹ.</w:t>
            </w:r>
          </w:p>
          <w:p w:rsidR="00123ED2" w:rsidRPr="003E44F3" w:rsidRDefault="00123ED2" w:rsidP="003E44F3">
            <w:pPr>
              <w:spacing w:after="0" w:line="240" w:lineRule="auto"/>
              <w:jc w:val="both"/>
              <w:rPr>
                <w:iCs/>
                <w:color w:val="000000"/>
                <w:sz w:val="24"/>
                <w:szCs w:val="24"/>
              </w:rPr>
            </w:pPr>
            <w:r w:rsidRPr="003E44F3">
              <w:rPr>
                <w:iCs/>
                <w:color w:val="000000"/>
                <w:sz w:val="24"/>
                <w:szCs w:val="24"/>
              </w:rPr>
              <w:t>2. Chăm sóc y tế, thực phẩm, nước uống cho người dân nơi sơ tán: mức chi tối đa 150.000 đồng/người/ngày căn cứ theo số ngày thực tế được sơ tán và danh sách sơ tán được cấp có thẩm quyền phê duyệt.</w:t>
            </w:r>
          </w:p>
          <w:p w:rsidR="00123ED2" w:rsidRPr="003E44F3" w:rsidRDefault="00123ED2" w:rsidP="003E44F3">
            <w:pPr>
              <w:spacing w:after="0" w:line="240" w:lineRule="auto"/>
              <w:jc w:val="both"/>
              <w:rPr>
                <w:iCs/>
                <w:color w:val="000000"/>
                <w:sz w:val="24"/>
                <w:szCs w:val="24"/>
              </w:rPr>
            </w:pPr>
          </w:p>
          <w:p w:rsidR="00123ED2" w:rsidRPr="003E44F3" w:rsidRDefault="00123ED2" w:rsidP="003E44F3">
            <w:pPr>
              <w:spacing w:after="0" w:line="240" w:lineRule="auto"/>
              <w:jc w:val="both"/>
              <w:rPr>
                <w:color w:val="000000"/>
                <w:sz w:val="24"/>
                <w:szCs w:val="24"/>
              </w:rPr>
            </w:pPr>
            <w:r w:rsidRPr="003E44F3">
              <w:rPr>
                <w:iCs/>
                <w:color w:val="000000"/>
                <w:sz w:val="24"/>
                <w:szCs w:val="24"/>
                <w:lang w:val="vi-VN"/>
              </w:rPr>
              <w:t>3. Tuần tra, kiểm tra phát hiện khu vực có nguy cơ xảy ra rủi ro thiên tai, sự cố công trình phòng, chống thiên tai; hỗ trợ cho lực lượng thường trực trực ban, chỉ huy, chỉ đạo ứng phó thiên tai: mức chi (tiền lương làm thêm giờ, làm việc vào ban đêm, trực ban) theo quy định tại Điều 98, Điều 106, Điều 108 Bộ Luật Lao động ngày 20 tháng 11 năm 2019 và Điều 55, Điều 57 Nghị định số 145/2020/NĐ-CP ngày 14 tháng 12 năm 2020 của Chính phủ quy định chi tiết và hướng dẫn thi hành một số điều của Bộ Luật Lao động về điều kiện lao động và quan hệ lao động.</w:t>
            </w:r>
          </w:p>
        </w:tc>
        <w:tc>
          <w:tcPr>
            <w:tcW w:w="1412" w:type="pct"/>
          </w:tcPr>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r w:rsidRPr="003E44F3">
              <w:rPr>
                <w:color w:val="000000"/>
                <w:sz w:val="24"/>
                <w:szCs w:val="24"/>
              </w:rPr>
              <w:t>Tách nội dung chi sơ tán và chăm sóc y tế tại điểm a khoản 3 Điều 2 của Quyết định số 47/QĐ-UBND thành khoản 1 khoản 2 Điều 5 của dự thảo Quyết định thay thế và tăng mức chi chăm sóc y tế thực phẩm.</w:t>
            </w: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000000"/>
                <w:sz w:val="24"/>
                <w:szCs w:val="24"/>
              </w:rPr>
            </w:pPr>
          </w:p>
          <w:p w:rsidR="00123ED2" w:rsidRPr="003E44F3" w:rsidRDefault="00123ED2" w:rsidP="003E44F3">
            <w:pPr>
              <w:spacing w:after="0" w:line="240" w:lineRule="auto"/>
              <w:jc w:val="both"/>
              <w:rPr>
                <w:color w:val="FF0000"/>
                <w:sz w:val="24"/>
                <w:szCs w:val="24"/>
              </w:rPr>
            </w:pPr>
          </w:p>
          <w:p w:rsidR="00123ED2" w:rsidRPr="003E44F3" w:rsidRDefault="00123ED2" w:rsidP="003E44F3">
            <w:pPr>
              <w:spacing w:after="0" w:line="240" w:lineRule="auto"/>
              <w:jc w:val="both"/>
              <w:rPr>
                <w:color w:val="000000"/>
                <w:sz w:val="24"/>
                <w:szCs w:val="24"/>
              </w:rPr>
            </w:pPr>
            <w:r w:rsidRPr="009C4667">
              <w:rPr>
                <w:sz w:val="24"/>
                <w:szCs w:val="24"/>
              </w:rPr>
              <w:t>Gom nội dung điểm a, b</w:t>
            </w:r>
            <w:r w:rsidRPr="003E44F3">
              <w:rPr>
                <w:color w:val="FF0000"/>
                <w:sz w:val="24"/>
                <w:szCs w:val="24"/>
              </w:rPr>
              <w:t xml:space="preserve"> </w:t>
            </w:r>
            <w:r w:rsidRPr="003E44F3">
              <w:rPr>
                <w:color w:val="000000"/>
                <w:sz w:val="24"/>
                <w:szCs w:val="24"/>
              </w:rPr>
              <w:t>khoản 3 Điều 2 của Quyết định số 47/QĐ-UBND thành khoản 3 Điều 5 của dự thảo Quyết định thay thế và thay đổi căn cứ pháp lý</w:t>
            </w:r>
          </w:p>
        </w:tc>
      </w:tr>
      <w:tr w:rsidR="00123ED2" w:rsidRPr="009C4667" w:rsidTr="003E44F3">
        <w:trPr>
          <w:gridBefore w:val="1"/>
        </w:trPr>
        <w:tc>
          <w:tcPr>
            <w:tcW w:w="1766" w:type="pct"/>
          </w:tcPr>
          <w:p w:rsidR="00123ED2" w:rsidRPr="003E44F3" w:rsidRDefault="00123ED2" w:rsidP="003E44F3">
            <w:pPr>
              <w:spacing w:after="0" w:line="240" w:lineRule="auto"/>
              <w:jc w:val="both"/>
              <w:rPr>
                <w:b/>
                <w:bCs/>
                <w:color w:val="000000"/>
                <w:sz w:val="24"/>
                <w:szCs w:val="24"/>
              </w:rPr>
            </w:pPr>
            <w:r w:rsidRPr="003E44F3">
              <w:rPr>
                <w:b/>
                <w:bCs/>
                <w:color w:val="000000"/>
                <w:sz w:val="24"/>
                <w:szCs w:val="24"/>
              </w:rPr>
              <w:t xml:space="preserve">4. Chi cứu trợ, hỗ trợ khắc phục hậu quả thiên tai, theo khả năng cân đối của Quỹ </w:t>
            </w:r>
          </w:p>
          <w:p w:rsidR="00123ED2" w:rsidRPr="003E44F3" w:rsidRDefault="00123ED2" w:rsidP="003E44F3">
            <w:pPr>
              <w:spacing w:after="0" w:line="240" w:lineRule="auto"/>
              <w:jc w:val="both"/>
              <w:rPr>
                <w:bCs/>
                <w:color w:val="000000"/>
                <w:sz w:val="24"/>
                <w:szCs w:val="24"/>
              </w:rPr>
            </w:pPr>
            <w:r w:rsidRPr="003E44F3">
              <w:rPr>
                <w:bCs/>
                <w:color w:val="000000"/>
                <w:sz w:val="24"/>
                <w:szCs w:val="24"/>
              </w:rPr>
              <w:t xml:space="preserve">a) Cứu trợ khẩn cấp về lương thực, nước uống, thuốc </w:t>
            </w:r>
            <w:r w:rsidRPr="003E44F3">
              <w:rPr>
                <w:bCs/>
                <w:color w:val="000000"/>
                <w:sz w:val="24"/>
                <w:szCs w:val="24"/>
              </w:rPr>
              <w:lastRenderedPageBreak/>
              <w:t xml:space="preserve">chữa bệnh và các nhu cầu cấp thiết khác cho đối tượng bị thiệt hại do thiên tai; hỗ trợ tu sửa nhà ở của nhân dân bị hư hỏng do thiên tai: </w:t>
            </w:r>
          </w:p>
          <w:p w:rsidR="00123ED2" w:rsidRPr="003E44F3" w:rsidRDefault="00123ED2" w:rsidP="003E44F3">
            <w:pPr>
              <w:spacing w:after="0" w:line="240" w:lineRule="auto"/>
              <w:jc w:val="both"/>
              <w:rPr>
                <w:bCs/>
                <w:color w:val="000000"/>
                <w:sz w:val="24"/>
                <w:szCs w:val="24"/>
              </w:rPr>
            </w:pPr>
            <w:r w:rsidRPr="003E44F3">
              <w:rPr>
                <w:bCs/>
                <w:color w:val="000000"/>
                <w:sz w:val="24"/>
                <w:szCs w:val="24"/>
              </w:rPr>
              <w:t xml:space="preserve">Hỗ trợ 15kg gạo/người/tháng trong thời gian không quá 03 tháng cho mỗi đợt trợ giúp đối với các thành viên hộ gia đình thiếu đói trong và sau thiên tai. </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Cứu trợ khẩn cấp về nước uống, thuốc chữa bệnh, sách vở, phương tiện học tập và các nhu cầu cấp thiết khác cho đối tượng thiệt hại do thiên tai: chi theo thực tế và khả năng cân đối của Quỹ. Mức chi tối đa 300.000 đồng/người/đợt thiên tai.</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Hỗ trợ chi phí mai táng cho gia đình có người chết, mất tích do thiên tai theo thực tế nhưng không quá 25.000.000 đồng/người.</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Hỗ trợ hộ gia đình có nhà ở bị đổ, sập, trôi, cháy hoàn toàn do thiên tai, mức hỗ trợ theo thực tế nhưng không quá 40.000.000 đồng/hộ để xây dựng lại nhà ở.</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 xml:space="preserve">Hỗ trợ nhà ở bị hư hỏng do thiên tai để khắc phục, sửa </w:t>
            </w:r>
            <w:r w:rsidRPr="003E44F3">
              <w:rPr>
                <w:bCs/>
                <w:color w:val="000000"/>
                <w:sz w:val="24"/>
                <w:szCs w:val="24"/>
              </w:rPr>
              <w:lastRenderedPageBreak/>
              <w:t>chữa lại nhà ở, đối với nhà ở có mức thiệt hại trên 70%, mức hỗ trợ 20.000.000 đồng/hộ; có mức thiệt hại từ 50% - 70%, mức hỗ trợ 15.000.000 đồng/hộ; có mức thiệt hại từ 30% đến dưới 50%, mức hỗ trợ 10.000.000 đồng/hộ; có mức thiệt hại dưới 30%: khuyến khích các hộ dân tự sửa chữa, khắc phục thiệt hại để ổn định cuộc sống.</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b) Hỗ trợ tu sửa cơ sở y tế, trường học, xử lý vệ sinh môi trường vùng thiên tai, tu sửa nhà kết hợp làm địa điểm sơ tán phòng tránh thiên tai; tháo bỏ hạng mục, vật cản gây nguy cơ rủi ro thiên tai; hỗ trợ xử lý đảm bảo giao thông thông suốt cho những đoạn tuyến giao thông đường bộ quan trọng trên địa bàn bị sụt trượt, sạt lở: mức chi tối đa 50.000.000 đồng/một công trình/đợt thiên tai kèm theo hóa đơn, chứng từ chi thực tế hợp pháp theo quy định của pháp luật.</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rPr>
            </w:pPr>
            <w:r w:rsidRPr="003E44F3">
              <w:rPr>
                <w:bCs/>
                <w:color w:val="000000"/>
                <w:sz w:val="24"/>
                <w:szCs w:val="24"/>
              </w:rPr>
              <w:t xml:space="preserve">c) Hỗ trợ kinh phí tu sửa, xử lý và xây dựng khẩn cấp </w:t>
            </w:r>
            <w:r w:rsidRPr="003E44F3">
              <w:rPr>
                <w:bCs/>
                <w:color w:val="000000"/>
                <w:sz w:val="24"/>
                <w:szCs w:val="24"/>
              </w:rPr>
              <w:lastRenderedPageBreak/>
              <w:t>công trình phòng, chống thiên tai: mức hỗ trợ tối đa 03 tỷ đồng trong tổng mức đầu tư 01 công trình do cơ quan có thẩm quyền phê duyệt.</w:t>
            </w:r>
          </w:p>
          <w:p w:rsidR="00123ED2" w:rsidRPr="003E44F3" w:rsidRDefault="00123ED2" w:rsidP="003E44F3">
            <w:pPr>
              <w:spacing w:after="0" w:line="240" w:lineRule="auto"/>
              <w:jc w:val="both"/>
              <w:rPr>
                <w:bCs/>
                <w:color w:val="000000"/>
                <w:sz w:val="24"/>
                <w:szCs w:val="24"/>
              </w:rPr>
            </w:pPr>
          </w:p>
          <w:p w:rsidR="00123ED2" w:rsidRPr="003E44F3" w:rsidRDefault="00123ED2" w:rsidP="003E44F3">
            <w:pPr>
              <w:spacing w:after="0" w:line="240" w:lineRule="auto"/>
              <w:jc w:val="both"/>
              <w:rPr>
                <w:bCs/>
                <w:color w:val="000000"/>
                <w:sz w:val="24"/>
                <w:szCs w:val="24"/>
                <w:lang w:val="de-DE"/>
              </w:rPr>
            </w:pPr>
            <w:r w:rsidRPr="003E44F3">
              <w:rPr>
                <w:bCs/>
                <w:color w:val="000000"/>
                <w:sz w:val="24"/>
                <w:szCs w:val="24"/>
              </w:rPr>
              <w:t xml:space="preserve">d) Hỗ trợ hộ dân có diện tích sản xuất nông nghiệp bị thiệt hại do thiên tai, dịch bệnh, các nội dung chi, quy trình và mức hỗ trợ theo quy định tại </w:t>
            </w:r>
            <w:r w:rsidRPr="003E44F3">
              <w:rPr>
                <w:bCs/>
                <w:color w:val="000000"/>
                <w:sz w:val="24"/>
                <w:szCs w:val="24"/>
                <w:u w:val="single"/>
              </w:rPr>
              <w:t xml:space="preserve">Điều 5 </w:t>
            </w:r>
            <w:r w:rsidRPr="003E44F3">
              <w:rPr>
                <w:bCs/>
                <w:color w:val="000000"/>
                <w:sz w:val="24"/>
                <w:szCs w:val="24"/>
                <w:u w:val="single"/>
                <w:lang w:val="de-DE"/>
              </w:rPr>
              <w:t>Nghị định số 9/2025/NĐ-CP</w:t>
            </w:r>
            <w:r w:rsidRPr="003E44F3">
              <w:rPr>
                <w:bCs/>
                <w:color w:val="000000"/>
                <w:sz w:val="24"/>
                <w:szCs w:val="24"/>
                <w:lang w:val="de-DE"/>
              </w:rPr>
              <w:t>.</w:t>
            </w:r>
          </w:p>
          <w:p w:rsidR="00123ED2" w:rsidRPr="003E44F3" w:rsidRDefault="00123ED2" w:rsidP="003E44F3">
            <w:pPr>
              <w:spacing w:after="0" w:line="240" w:lineRule="auto"/>
              <w:jc w:val="both"/>
              <w:rPr>
                <w:bCs/>
                <w:color w:val="000000"/>
                <w:sz w:val="24"/>
                <w:szCs w:val="24"/>
                <w:lang w:val="de-DE"/>
              </w:rPr>
            </w:pPr>
          </w:p>
          <w:p w:rsidR="00123ED2" w:rsidRPr="009C4667" w:rsidRDefault="00123ED2" w:rsidP="003E44F3">
            <w:pPr>
              <w:spacing w:after="0" w:line="240" w:lineRule="auto"/>
              <w:jc w:val="both"/>
              <w:rPr>
                <w:bCs/>
                <w:color w:val="000000"/>
                <w:sz w:val="24"/>
                <w:szCs w:val="24"/>
                <w:lang w:val="de-DE"/>
              </w:rPr>
            </w:pPr>
            <w:r w:rsidRPr="009C4667">
              <w:rPr>
                <w:bCs/>
                <w:color w:val="000000"/>
                <w:sz w:val="24"/>
                <w:szCs w:val="24"/>
                <w:lang w:val="de-DE"/>
              </w:rPr>
              <w:t xml:space="preserve">5. </w:t>
            </w:r>
            <w:r w:rsidRPr="003E44F3">
              <w:rPr>
                <w:bCs/>
                <w:color w:val="000000"/>
                <w:sz w:val="24"/>
                <w:szCs w:val="24"/>
                <w:lang w:val="vi-VN"/>
              </w:rPr>
              <w:t xml:space="preserve">Trong trường hợp cùng một nội dung </w:t>
            </w:r>
            <w:r w:rsidRPr="009C4667">
              <w:rPr>
                <w:bCs/>
                <w:color w:val="000000"/>
                <w:sz w:val="24"/>
                <w:szCs w:val="24"/>
                <w:lang w:val="de-DE"/>
              </w:rPr>
              <w:t xml:space="preserve">chi </w:t>
            </w:r>
            <w:r w:rsidRPr="003E44F3">
              <w:rPr>
                <w:bCs/>
                <w:color w:val="000000"/>
                <w:sz w:val="24"/>
                <w:szCs w:val="24"/>
                <w:lang w:val="vi-VN"/>
              </w:rPr>
              <w:t xml:space="preserve">có nhiều chính sách hỗ trợ </w:t>
            </w:r>
            <w:r w:rsidRPr="009C4667">
              <w:rPr>
                <w:bCs/>
                <w:color w:val="000000"/>
                <w:sz w:val="24"/>
                <w:szCs w:val="24"/>
                <w:lang w:val="de-DE"/>
              </w:rPr>
              <w:t xml:space="preserve">khác nhau </w:t>
            </w:r>
            <w:r w:rsidRPr="003E44F3">
              <w:rPr>
                <w:bCs/>
                <w:color w:val="000000"/>
                <w:sz w:val="24"/>
                <w:szCs w:val="24"/>
                <w:lang w:val="vi-VN"/>
              </w:rPr>
              <w:t>thì áp dụng mức chi hỗ trợ cao nhất</w:t>
            </w:r>
            <w:r w:rsidRPr="009C4667">
              <w:rPr>
                <w:bCs/>
                <w:color w:val="000000"/>
                <w:sz w:val="24"/>
                <w:szCs w:val="24"/>
                <w:lang w:val="de-DE"/>
              </w:rPr>
              <w:t>.</w:t>
            </w:r>
          </w:p>
          <w:p w:rsidR="00123ED2" w:rsidRPr="009C4667" w:rsidRDefault="00123ED2" w:rsidP="003E44F3">
            <w:pPr>
              <w:spacing w:after="0" w:line="240" w:lineRule="auto"/>
              <w:jc w:val="both"/>
              <w:rPr>
                <w:b/>
                <w:bCs/>
                <w:color w:val="000000"/>
                <w:sz w:val="24"/>
                <w:szCs w:val="24"/>
                <w:lang w:val="de-DE"/>
              </w:rPr>
            </w:pPr>
          </w:p>
        </w:tc>
        <w:tc>
          <w:tcPr>
            <w:tcW w:w="1822" w:type="pct"/>
          </w:tcPr>
          <w:p w:rsidR="00123ED2" w:rsidRPr="009C4667" w:rsidRDefault="00123ED2" w:rsidP="003E44F3">
            <w:pPr>
              <w:spacing w:after="0" w:line="240" w:lineRule="auto"/>
              <w:jc w:val="both"/>
              <w:rPr>
                <w:color w:val="000000"/>
                <w:sz w:val="24"/>
                <w:szCs w:val="24"/>
                <w:lang w:val="de-DE"/>
              </w:rPr>
            </w:pPr>
            <w:bookmarkStart w:id="3" w:name="_Hlk184388837"/>
            <w:r w:rsidRPr="009C4667">
              <w:rPr>
                <w:b/>
                <w:color w:val="000000"/>
                <w:sz w:val="24"/>
                <w:szCs w:val="24"/>
                <w:lang w:val="de-DE"/>
              </w:rPr>
              <w:lastRenderedPageBreak/>
              <w:t>Điều 6.</w:t>
            </w:r>
            <w:r w:rsidRPr="009C4667">
              <w:rPr>
                <w:color w:val="000000"/>
                <w:sz w:val="24"/>
                <w:szCs w:val="24"/>
                <w:lang w:val="de-DE"/>
              </w:rPr>
              <w:t xml:space="preserve"> </w:t>
            </w:r>
            <w:r w:rsidRPr="003E44F3">
              <w:rPr>
                <w:b/>
                <w:color w:val="000000"/>
                <w:sz w:val="24"/>
                <w:szCs w:val="24"/>
                <w:lang w:val="vi-VN"/>
              </w:rPr>
              <w:t>Nội dung chi và mức chi hỗ trợ khắc phục hậu quả thiên tai</w:t>
            </w:r>
            <w:r w:rsidRPr="009C4667">
              <w:rPr>
                <w:color w:val="000000"/>
                <w:sz w:val="24"/>
                <w:szCs w:val="24"/>
                <w:lang w:val="de-DE"/>
              </w:rPr>
              <w:t xml:space="preserve"> </w:t>
            </w:r>
          </w:p>
          <w:bookmarkEnd w:id="3"/>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1</w:t>
            </w:r>
            <w:r w:rsidRPr="001919B3">
              <w:rPr>
                <w:color w:val="000000"/>
                <w:sz w:val="24"/>
                <w:szCs w:val="24"/>
                <w:lang w:val="de-DE"/>
              </w:rPr>
              <w:t xml:space="preserve">. Cứu trợ khẩn cấp về lương thực, nước uống, thuốc </w:t>
            </w:r>
            <w:r w:rsidRPr="001919B3">
              <w:rPr>
                <w:color w:val="000000"/>
                <w:sz w:val="24"/>
                <w:szCs w:val="24"/>
                <w:lang w:val="de-DE"/>
              </w:rPr>
              <w:lastRenderedPageBreak/>
              <w:t>chữa bệnh, sách vở, phương tiện học tập và các nhu cầu cấp thiết khác cho đối tượng bị thiệt hại do thiên tai:</w:t>
            </w:r>
            <w:r w:rsidRPr="009C4667">
              <w:rPr>
                <w:color w:val="000000"/>
                <w:sz w:val="24"/>
                <w:szCs w:val="24"/>
                <w:lang w:val="de-DE"/>
              </w:rPr>
              <w:t xml:space="preserve"> </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 xml:space="preserve">a) Hỗ trợ 15kg gạo/người/tháng trong thời gian không quá 03 tháng cho mỗi đợt trợ giúp đối với các thành viên hộ gia đình thiếu đói trong và sau thiên tai. </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 xml:space="preserve">b) Cứu trợ khẩn cấp về nước uống, thuốc chữa bệnh và các nhu cầu cấp thiết khác cho đối tượng thiệt hại do thiên tai: mức chi 150.000 đồng/người/đợt thiên tai, </w:t>
            </w:r>
            <w:r w:rsidRPr="003E44F3">
              <w:rPr>
                <w:color w:val="000000"/>
                <w:sz w:val="24"/>
                <w:szCs w:val="24"/>
                <w:lang w:val="vi-VN"/>
              </w:rPr>
              <w:t>có hóa đơn, chứng từ theo đúng quy định</w:t>
            </w:r>
            <w:r w:rsidRPr="009C4667">
              <w:rPr>
                <w:color w:val="000000"/>
                <w:sz w:val="24"/>
                <w:szCs w:val="24"/>
                <w:lang w:val="de-DE"/>
              </w:rPr>
              <w:t xml:space="preserve">. </w:t>
            </w:r>
          </w:p>
          <w:p w:rsidR="00123ED2" w:rsidRPr="009C4667" w:rsidRDefault="00123ED2" w:rsidP="003E44F3">
            <w:pPr>
              <w:spacing w:after="0" w:line="240" w:lineRule="auto"/>
              <w:jc w:val="both"/>
              <w:rPr>
                <w:iCs/>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 xml:space="preserve">c) Cứu trợ khẩn cấp về sách vở, phương tiện học tập: mức chi 150.000 đồng/người/đợt thiên tai, </w:t>
            </w:r>
            <w:r w:rsidRPr="003E44F3">
              <w:rPr>
                <w:color w:val="000000"/>
                <w:sz w:val="24"/>
                <w:szCs w:val="24"/>
                <w:lang w:val="vi-VN"/>
              </w:rPr>
              <w:t>có hóa đơn, chứng từ theo đúng quy định</w:t>
            </w:r>
            <w:r w:rsidRPr="009C4667">
              <w:rPr>
                <w:color w:val="000000"/>
                <w:sz w:val="24"/>
                <w:szCs w:val="24"/>
                <w:lang w:val="de-DE"/>
              </w:rPr>
              <w:t>.</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 xml:space="preserve">2. </w:t>
            </w:r>
            <w:bookmarkStart w:id="4" w:name="diem_b_2_3"/>
            <w:r w:rsidRPr="009C4667">
              <w:rPr>
                <w:color w:val="000000"/>
                <w:sz w:val="24"/>
                <w:szCs w:val="24"/>
                <w:lang w:val="de-DE"/>
              </w:rPr>
              <w:t>Hỗ trợ tu sửa nhà ở</w:t>
            </w:r>
            <w:bookmarkEnd w:id="4"/>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a) Hộ nghèo, hộ cận nghèo, hộ gia đình có hoàn cảnh khó khăn có nhà ở bị đổ, sập, trôi, cháy do thiên tai mà không còn nơi ở, thì được hỗ trợ chi phí để xây dựng nhà ở với mức hỗ trợ là 40.000.000 đồng/hộ.</w:t>
            </w: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b) Hộ không phải là hộ nghèo, hộ cận nghèo, hộ gia đình có hoàn cảnh khó khăn có nhà ở bị đổ, sập, trôi, cháy do thiên tai mà không còn nơi ở, thì được hỗ trợ chi phí để xây dựng nhà ở với mức hỗ trợ là 30.000.000 đồng/hộ.</w:t>
            </w: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 xml:space="preserve">c) Hộ nghèo, hộ cận nghèo, hộ gia đình có hoàn cảnh khó khăn có nhà ở bị hư hỏng do thiên tai, thì được hỗ </w:t>
            </w:r>
            <w:r w:rsidRPr="009C4667">
              <w:rPr>
                <w:color w:val="000000"/>
                <w:sz w:val="24"/>
                <w:szCs w:val="24"/>
                <w:lang w:val="de-DE"/>
              </w:rPr>
              <w:lastRenderedPageBreak/>
              <w:t>trợ để khắc phục, sửa chữa lại nhà ở: nhà ở có mức thiệt hại trên 70%, mức hỗ trợ 20.000.000 đồng/hộ; có mức thiệt hại từ 50% - 70%, mức hỗ trợ 15.000.000 đồng/hộ; có mức thiệt hại từ 30% đến dưới 50%, mức hỗ trợ 10.000.000 đồng/hộ; có mức thiệt hại dưới 30%: khuyến khích các hộ dân tự sửa chữa, khắc phục thiệt hại để ổn định cuộc sống. Căn cứ xác định mức độ thiệt hại: tỷ lệ % (phần trăm) mức độ thiệt hại của căn nhà được tính trên tổng giá trị căn nhà do UBND cấp xã xác định mức độ thiệt hại.</w:t>
            </w: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d) Hộ không phải là hộ nghèo, hộ cận nghèo, hộ gia đình có hoàn cảnh khó khăn có nhà ở bị hư hỏng do thiên tai, thì được hỗ trợ để khắc phục, sửa chữa lại nhà ở: nhà ở có mức thiệt hại trên 70%, mức hỗ trợ 15.000.000 đồng/hộ; có mức thiệt hại từ 50% - 70%, mức hỗ trợ 10.000.000 đồng/hộ; có mức thiệt hại từ 30% đến dưới 50%, mức hỗ trợ 5.000.000 đồng/hộ; có mức thiệt hại dưới 30%: khuyến khích các hộ dân tự sửa chữa, khắc phục thiệt hại để ổn định cuộc sống. Căn cứ xác định mức độ thiệt hại: tỷ lệ % (phần trăm) mức độ thiệt hại của căn nhà được tính trên tổng giá trị căn nhà do UBND cấp xã xác định mức độ thiệt hại.</w:t>
            </w:r>
          </w:p>
          <w:p w:rsidR="00123ED2" w:rsidRPr="009C4667" w:rsidRDefault="00123ED2" w:rsidP="003E44F3">
            <w:pPr>
              <w:spacing w:after="0" w:line="240" w:lineRule="auto"/>
              <w:jc w:val="both"/>
              <w:rPr>
                <w:color w:val="000000"/>
                <w:sz w:val="24"/>
                <w:szCs w:val="24"/>
                <w:lang w:val="de-DE"/>
              </w:rPr>
            </w:pPr>
          </w:p>
          <w:p w:rsidR="00123ED2" w:rsidRPr="00E53DCA" w:rsidRDefault="00123ED2" w:rsidP="003E44F3">
            <w:pPr>
              <w:spacing w:after="0" w:line="240" w:lineRule="auto"/>
              <w:jc w:val="both"/>
              <w:rPr>
                <w:color w:val="000000"/>
                <w:sz w:val="24"/>
                <w:szCs w:val="24"/>
                <w:lang w:val="de-DE"/>
              </w:rPr>
            </w:pPr>
            <w:r w:rsidRPr="00E53DCA">
              <w:rPr>
                <w:color w:val="000000"/>
                <w:sz w:val="24"/>
                <w:szCs w:val="24"/>
                <w:lang w:val="de-DE"/>
              </w:rPr>
              <w:t>3. Hỗ trợ tu sửa cơ sở y tế, trường học, xử lý vệ sinh môi trường vùng thiên tai, tu sửa nhà kết hợp làm địa điểm sơ tán phòng tránh thiên tai: mức chi tối đa 50.000.000 đồng/một công trình/đợt thiên tai theo dự toán được cấp có thẩm quyền quyết định và khả năng cân đối của Quỹ.</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r w:rsidRPr="009C4667">
              <w:rPr>
                <w:color w:val="000000"/>
                <w:sz w:val="24"/>
                <w:szCs w:val="24"/>
                <w:lang w:val="de-DE"/>
              </w:rPr>
              <w:t>4. Hỗ trợ hộ dân có diện tích sản xuất nông nghiệp bị thiệt hại do thiên tai, dịch bệnh: các nội dung chi, quy trình và mức hỗ trợ theo quy định tại Điều 3 Nghị quyết số 17/2025/NQ-HĐND ngày 30 tháng 12 năm 2025 của Hội đồng Nhân dân tỉnh An Giang quy định chính sách hỗ trợ sản xuất nông nghiệp để khôi phục sản xuất vùng bị thiệt hại do thiên tai, dịch hại thực vật trên địa bàn tỉnh An Giang</w:t>
            </w:r>
            <w:r w:rsidRPr="003E44F3">
              <w:rPr>
                <w:color w:val="000000"/>
                <w:sz w:val="24"/>
                <w:szCs w:val="24"/>
                <w:lang w:val="de-DE"/>
              </w:rPr>
              <w:t>.</w:t>
            </w:r>
          </w:p>
          <w:p w:rsidR="00123ED2" w:rsidRPr="009C4667" w:rsidRDefault="00123ED2" w:rsidP="003E44F3">
            <w:pPr>
              <w:spacing w:after="0" w:line="240" w:lineRule="auto"/>
              <w:jc w:val="both"/>
              <w:rPr>
                <w:color w:val="000000"/>
                <w:sz w:val="24"/>
                <w:szCs w:val="24"/>
                <w:lang w:val="de-DE"/>
              </w:rPr>
            </w:pPr>
          </w:p>
          <w:p w:rsidR="00123ED2" w:rsidRPr="00E53DCA" w:rsidRDefault="00123ED2" w:rsidP="003E44F3">
            <w:pPr>
              <w:spacing w:after="0" w:line="240" w:lineRule="auto"/>
              <w:jc w:val="both"/>
              <w:rPr>
                <w:color w:val="000000"/>
                <w:sz w:val="24"/>
                <w:szCs w:val="24"/>
                <w:lang w:val="de-DE"/>
              </w:rPr>
            </w:pPr>
            <w:r w:rsidRPr="009C4667">
              <w:rPr>
                <w:color w:val="000000"/>
                <w:sz w:val="24"/>
                <w:szCs w:val="24"/>
                <w:lang w:val="de-DE"/>
              </w:rPr>
              <w:t>5</w:t>
            </w:r>
            <w:r w:rsidRPr="00E53DCA">
              <w:rPr>
                <w:color w:val="000000"/>
                <w:sz w:val="24"/>
                <w:szCs w:val="24"/>
                <w:lang w:val="de-DE"/>
              </w:rPr>
              <w:t>. Hỗ trợ tháo bỏ hạng mục, vật cản gây nguy cơ rủi ro thiên tai: mức chi tối đa 50.000.000 đồng/một công trình/đợt thiên tai theo dự toán được cấp có thẩm quyền quyết định và khả năng cân đối của Quỹ.</w:t>
            </w:r>
          </w:p>
          <w:p w:rsidR="00123ED2" w:rsidRPr="00E53DCA" w:rsidRDefault="00123ED2" w:rsidP="003E44F3">
            <w:pPr>
              <w:spacing w:after="0" w:line="240" w:lineRule="auto"/>
              <w:jc w:val="both"/>
              <w:rPr>
                <w:color w:val="000000"/>
                <w:sz w:val="24"/>
                <w:szCs w:val="24"/>
                <w:lang w:val="de-DE"/>
              </w:rPr>
            </w:pPr>
          </w:p>
          <w:p w:rsidR="00123ED2" w:rsidRPr="00E53DCA" w:rsidRDefault="00123ED2" w:rsidP="003E44F3">
            <w:pPr>
              <w:spacing w:after="0" w:line="240" w:lineRule="auto"/>
              <w:jc w:val="both"/>
              <w:rPr>
                <w:color w:val="000000"/>
                <w:sz w:val="24"/>
                <w:szCs w:val="24"/>
                <w:lang w:val="de-DE"/>
              </w:rPr>
            </w:pPr>
            <w:r w:rsidRPr="00E53DCA">
              <w:rPr>
                <w:color w:val="000000"/>
                <w:sz w:val="24"/>
                <w:szCs w:val="24"/>
                <w:lang w:val="de-DE"/>
              </w:rPr>
              <w:t>6. Hỗ trợ xử lý đảm bảo giao thông thông suốt cho những đoạn tuyến giao thông đường bộ quan trọng trên địa bàn bị sụt trượt, sạt lở: mức chi theo dự toán được cấp có thẩm quyền quyết định và khả năng cân đối của Quỹ.</w:t>
            </w:r>
          </w:p>
          <w:p w:rsidR="00123ED2" w:rsidRPr="009C4667" w:rsidRDefault="00123ED2" w:rsidP="003E44F3">
            <w:pPr>
              <w:spacing w:after="0" w:line="240" w:lineRule="auto"/>
              <w:jc w:val="both"/>
              <w:rPr>
                <w:color w:val="000000"/>
                <w:sz w:val="24"/>
                <w:szCs w:val="24"/>
                <w:lang w:val="de-DE"/>
              </w:rPr>
            </w:pPr>
            <w:r w:rsidRPr="00E53DCA">
              <w:rPr>
                <w:color w:val="000000"/>
                <w:sz w:val="24"/>
                <w:szCs w:val="24"/>
                <w:lang w:val="de-DE"/>
              </w:rPr>
              <w:t>7. Hỗ trợ kinh phí tu sửa, xử lý và xây dựng khẩn cấp công trình phòng, chống thiên tai: mức hỗ trợ tối đa 03 tỷ đồng trong tổng mức đầu tư 01 công trình do cơ quan có thẩm quyền quyết định.</w:t>
            </w:r>
          </w:p>
        </w:tc>
        <w:tc>
          <w:tcPr>
            <w:tcW w:w="1412" w:type="pct"/>
          </w:tcPr>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it-IT"/>
              </w:rPr>
            </w:pPr>
            <w:r w:rsidRPr="009C4667">
              <w:rPr>
                <w:color w:val="000000"/>
                <w:sz w:val="24"/>
                <w:szCs w:val="24"/>
                <w:lang w:val="de-DE"/>
              </w:rPr>
              <w:t xml:space="preserve">Nội chi tại điểm a khoản 1 Điều 6 của dự thảo Quyết định thay thế giữ nguyên so với </w:t>
            </w:r>
            <w:r w:rsidRPr="003E44F3">
              <w:rPr>
                <w:color w:val="000000"/>
                <w:sz w:val="24"/>
                <w:szCs w:val="24"/>
                <w:lang w:val="it-IT"/>
              </w:rPr>
              <w:t>Quyết định số 47/2025/QĐ-UBND</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Tách nội dung chi “</w:t>
            </w:r>
            <w:r w:rsidRPr="009C4667">
              <w:rPr>
                <w:bCs/>
                <w:color w:val="000000"/>
                <w:sz w:val="24"/>
                <w:szCs w:val="24"/>
                <w:lang w:val="de-DE"/>
              </w:rPr>
              <w:t xml:space="preserve">Cứu trợ khẩn cấp về nước uống, thuốc chữa bệnh, sách vở, phương tiện học tập và các nhu cầu cấp thiết khác cho đối tượng thiệt hại do thiên tai” tại điểm a khoản 4 Điều 2 của </w:t>
            </w:r>
            <w:r w:rsidRPr="003E44F3">
              <w:rPr>
                <w:bCs/>
                <w:color w:val="000000"/>
                <w:sz w:val="24"/>
                <w:szCs w:val="24"/>
                <w:lang w:val="it-IT"/>
              </w:rPr>
              <w:t>Quyết định số 47/2025/QĐ-UBND thành điểm b và điểm c khoản 1 Điều 6 và giảm lại mức chi hỗ trợ của dự thảo Quyết định thay thế</w:t>
            </w:r>
          </w:p>
          <w:p w:rsidR="00123ED2" w:rsidRPr="009C4667"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bCs/>
                <w:color w:val="000000"/>
                <w:sz w:val="24"/>
                <w:szCs w:val="24"/>
                <w:lang w:val="it-IT"/>
              </w:rPr>
            </w:pPr>
            <w:r w:rsidRPr="009C4667">
              <w:rPr>
                <w:color w:val="000000"/>
                <w:sz w:val="24"/>
                <w:szCs w:val="24"/>
                <w:lang w:val="de-DE"/>
              </w:rPr>
              <w:t>Dự thảo Quyết định thay thế bỏ nội dung “</w:t>
            </w:r>
            <w:r w:rsidRPr="009C4667">
              <w:rPr>
                <w:bCs/>
                <w:color w:val="000000"/>
                <w:sz w:val="24"/>
                <w:szCs w:val="24"/>
                <w:lang w:val="de-DE"/>
              </w:rPr>
              <w:t xml:space="preserve">Hỗ trợ chi phí mai táng cho gia đình có người chết, mất tích do thiên tai theo thực tế nhưng không quá 25.000.000 đồng/người” so với với </w:t>
            </w:r>
            <w:r w:rsidRPr="003E44F3">
              <w:rPr>
                <w:bCs/>
                <w:color w:val="000000"/>
                <w:sz w:val="24"/>
                <w:szCs w:val="24"/>
                <w:lang w:val="it-IT"/>
              </w:rPr>
              <w:t>Quyết định số 47/2025/QĐ-UBND</w:t>
            </w:r>
          </w:p>
          <w:p w:rsidR="00123ED2" w:rsidRPr="009C4667" w:rsidRDefault="00123ED2" w:rsidP="003E44F3">
            <w:pPr>
              <w:spacing w:after="0" w:line="240" w:lineRule="auto"/>
              <w:jc w:val="both"/>
              <w:rPr>
                <w:bCs/>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Đối với nội dung hỗ trợ tu sửa nhà ở tại điềm a, b, c, d khoản 2 Điều 6 của dư thảo Quyết định thay thế làm rõ thêm đối tượng được hỗ trợ gôm hộ nghèo, hộ cận nghèo, hộ gia đình có hoàn cảnh khó khăn và hộ không phải là hộ là hộ nghèo, hộ cận nghèo, hộ gia đình có hoàn cảnh khó khăn và điều chỉnh mức chi cho phù hợp hơn so với Quyết định số 447/QĐ-UBND</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Tách nội dung chi điểm b khoản 4 của Quyết định số 447/QĐ-UBND thành khoản 3 5 6 Điều 6 của dự thảo Quyết định thay thế</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 xml:space="preserve">Thay đổi căn cứ mức chi hỗ trợ tại khoản 4 Điều 6 của dự thảo Quyết định thay thế so với Quyết định số 447/QĐ-UBND </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it-IT"/>
              </w:rPr>
            </w:pPr>
            <w:r w:rsidRPr="009C4667">
              <w:rPr>
                <w:color w:val="000000"/>
                <w:sz w:val="24"/>
                <w:szCs w:val="24"/>
                <w:lang w:val="de-DE"/>
              </w:rPr>
              <w:t xml:space="preserve">Nội chi tại khoản 7 Điều 6 của dự thảo Quyết định thay thế giữ nguyên so với </w:t>
            </w:r>
            <w:r w:rsidRPr="003E44F3">
              <w:rPr>
                <w:color w:val="000000"/>
                <w:sz w:val="24"/>
                <w:szCs w:val="24"/>
                <w:lang w:val="it-IT"/>
              </w:rPr>
              <w:t>Quyết định số 47/2025/QĐ-UBND</w:t>
            </w:r>
          </w:p>
          <w:p w:rsidR="00123ED2" w:rsidRPr="009C4667" w:rsidRDefault="00123ED2" w:rsidP="003E44F3">
            <w:pPr>
              <w:spacing w:after="0" w:line="240" w:lineRule="auto"/>
              <w:jc w:val="both"/>
              <w:rPr>
                <w:color w:val="000000"/>
                <w:sz w:val="24"/>
                <w:szCs w:val="24"/>
                <w:lang w:val="de-DE"/>
              </w:rPr>
            </w:pPr>
          </w:p>
        </w:tc>
      </w:tr>
      <w:tr w:rsidR="00123ED2" w:rsidRPr="009C4667" w:rsidTr="003E44F3">
        <w:trPr>
          <w:gridBefore w:val="1"/>
        </w:trPr>
        <w:tc>
          <w:tcPr>
            <w:tcW w:w="1766" w:type="pct"/>
          </w:tcPr>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b/>
                <w:bCs/>
                <w:color w:val="000000"/>
                <w:sz w:val="24"/>
                <w:szCs w:val="24"/>
                <w:lang w:val="de-DE"/>
              </w:rPr>
            </w:pPr>
            <w:r w:rsidRPr="009C4667">
              <w:rPr>
                <w:b/>
                <w:bCs/>
                <w:color w:val="000000"/>
                <w:sz w:val="24"/>
                <w:szCs w:val="24"/>
                <w:lang w:val="de-DE"/>
              </w:rPr>
              <w:t xml:space="preserve">6. Phân bổ Quỹ </w:t>
            </w:r>
          </w:p>
          <w:p w:rsidR="00123ED2" w:rsidRPr="009C4667" w:rsidRDefault="00123ED2" w:rsidP="003E44F3">
            <w:pPr>
              <w:spacing w:after="0" w:line="240" w:lineRule="auto"/>
              <w:jc w:val="both"/>
              <w:rPr>
                <w:b/>
                <w:bCs/>
                <w:color w:val="000000"/>
                <w:sz w:val="24"/>
                <w:szCs w:val="24"/>
                <w:lang w:val="de-DE"/>
              </w:rPr>
            </w:pPr>
          </w:p>
          <w:p w:rsidR="00123ED2" w:rsidRPr="009C4667" w:rsidRDefault="00123ED2" w:rsidP="003E44F3">
            <w:pPr>
              <w:spacing w:after="0" w:line="240" w:lineRule="auto"/>
              <w:jc w:val="both"/>
              <w:rPr>
                <w:bCs/>
                <w:color w:val="000000"/>
                <w:sz w:val="24"/>
                <w:szCs w:val="24"/>
                <w:lang w:val="de-DE"/>
              </w:rPr>
            </w:pPr>
            <w:r w:rsidRPr="009C4667">
              <w:rPr>
                <w:bCs/>
                <w:color w:val="000000"/>
                <w:sz w:val="24"/>
                <w:szCs w:val="24"/>
                <w:lang w:val="de-DE"/>
              </w:rPr>
              <w:t>Căn cứ nội dung chi và mức chi của Quỹ tại khoản 2, 3, 4 Điều này và số thu thực tế trên địa bàn mỗi cấp, Ủy ban nhân dân cấp huyện, xã được phân bổ như sau:</w:t>
            </w:r>
          </w:p>
          <w:p w:rsidR="00123ED2" w:rsidRPr="009C4667" w:rsidRDefault="00123ED2" w:rsidP="003E44F3">
            <w:pPr>
              <w:spacing w:after="0" w:line="240" w:lineRule="auto"/>
              <w:jc w:val="both"/>
              <w:rPr>
                <w:bCs/>
                <w:color w:val="000000"/>
                <w:sz w:val="24"/>
                <w:szCs w:val="24"/>
                <w:lang w:val="de-DE"/>
              </w:rPr>
            </w:pPr>
          </w:p>
          <w:p w:rsidR="00123ED2" w:rsidRPr="009C4667" w:rsidRDefault="00123ED2" w:rsidP="003E44F3">
            <w:pPr>
              <w:spacing w:after="0" w:line="240" w:lineRule="auto"/>
              <w:jc w:val="both"/>
              <w:rPr>
                <w:bCs/>
                <w:color w:val="000000"/>
                <w:sz w:val="24"/>
                <w:szCs w:val="24"/>
                <w:lang w:val="de-DE"/>
              </w:rPr>
            </w:pPr>
          </w:p>
          <w:p w:rsidR="00123ED2" w:rsidRPr="009C4667" w:rsidRDefault="00123ED2" w:rsidP="003E44F3">
            <w:pPr>
              <w:spacing w:after="0" w:line="240" w:lineRule="auto"/>
              <w:jc w:val="both"/>
              <w:rPr>
                <w:bCs/>
                <w:color w:val="000000"/>
                <w:sz w:val="24"/>
                <w:szCs w:val="24"/>
                <w:lang w:val="de-DE"/>
              </w:rPr>
            </w:pPr>
            <w:r w:rsidRPr="009C4667">
              <w:rPr>
                <w:bCs/>
                <w:color w:val="000000"/>
                <w:sz w:val="24"/>
                <w:szCs w:val="24"/>
                <w:lang w:val="de-DE"/>
              </w:rPr>
              <w:t>a) Ủy ban nhân dân cấp huyện giữ lại 23% số thu trong năm trên địa bàn (bao gồm cả số thu của cấp xã) để chi thực hiện các nhiệm vụ phòng, chống thiên tai tại cấp huyện là 20% số thu quỹ và chi phí hành chính phát sinh liên quan đến công tác thu quỹ là 3%. Số tiền thu quỹ còn lại (77% số thu trên địa bàn) nộp vào tài khoản của Quỹ tỉnh.</w:t>
            </w:r>
          </w:p>
          <w:p w:rsidR="00123ED2" w:rsidRPr="009C4667" w:rsidRDefault="00123ED2" w:rsidP="003E44F3">
            <w:pPr>
              <w:spacing w:after="0" w:line="240" w:lineRule="auto"/>
              <w:jc w:val="both"/>
              <w:rPr>
                <w:bCs/>
                <w:color w:val="000000"/>
                <w:sz w:val="24"/>
                <w:szCs w:val="24"/>
                <w:lang w:val="de-DE"/>
              </w:rPr>
            </w:pPr>
            <w:r w:rsidRPr="009C4667">
              <w:rPr>
                <w:bCs/>
                <w:color w:val="000000"/>
                <w:sz w:val="24"/>
                <w:szCs w:val="24"/>
                <w:lang w:val="de-DE"/>
              </w:rPr>
              <w:t>b) Ủy ban nhân dân cấp xã giữ lại 28% số thu trong năm trên địa bàn để hỗ trợ chi thù lao cho lực lượng trực tiếp thu là 5%, chi phí hành chính phát sinh liên quan đến công tác thu Quỹ là 3% và chi thực hiện các nhiệm vụ phòng, chống thiên tai tại cấp xã là 20% số thu quỹ. Số tiền thu quỹ còn lại (72% số thu trên địa bàn) nộp vào tài khoản Quỹ ở cấp huyện được ủy quyền theo quy định.</w:t>
            </w:r>
          </w:p>
          <w:p w:rsidR="00123ED2" w:rsidRPr="009C4667" w:rsidRDefault="00123ED2" w:rsidP="003E44F3">
            <w:pPr>
              <w:spacing w:after="0" w:line="240" w:lineRule="auto"/>
              <w:jc w:val="both"/>
              <w:rPr>
                <w:color w:val="000000"/>
                <w:sz w:val="24"/>
                <w:szCs w:val="24"/>
                <w:lang w:val="de-DE"/>
              </w:rPr>
            </w:pPr>
          </w:p>
        </w:tc>
        <w:tc>
          <w:tcPr>
            <w:tcW w:w="1822" w:type="pct"/>
            <w:vAlign w:val="center"/>
          </w:tcPr>
          <w:p w:rsidR="00123ED2" w:rsidRPr="009C4667" w:rsidRDefault="00123ED2" w:rsidP="003E44F3">
            <w:pPr>
              <w:spacing w:after="0" w:line="240" w:lineRule="auto"/>
              <w:jc w:val="both"/>
              <w:rPr>
                <w:b/>
                <w:color w:val="000000"/>
                <w:sz w:val="24"/>
                <w:szCs w:val="24"/>
                <w:lang w:val="de-DE"/>
              </w:rPr>
            </w:pPr>
            <w:r w:rsidRPr="009C4667">
              <w:rPr>
                <w:b/>
                <w:color w:val="000000"/>
                <w:sz w:val="24"/>
                <w:szCs w:val="24"/>
                <w:lang w:val="de-DE"/>
              </w:rPr>
              <w:lastRenderedPageBreak/>
              <w:t xml:space="preserve">Điều 7. </w:t>
            </w:r>
            <w:bookmarkStart w:id="5" w:name="dieu_4"/>
            <w:r w:rsidRPr="009C4667">
              <w:rPr>
                <w:b/>
                <w:color w:val="000000"/>
                <w:sz w:val="24"/>
                <w:szCs w:val="24"/>
                <w:lang w:val="de-DE"/>
              </w:rPr>
              <w:t xml:space="preserve">Phân bổ </w:t>
            </w:r>
            <w:bookmarkEnd w:id="5"/>
            <w:r w:rsidRPr="003E44F3">
              <w:rPr>
                <w:b/>
                <w:color w:val="000000"/>
                <w:sz w:val="24"/>
                <w:szCs w:val="24"/>
                <w:lang w:val="vi-VN"/>
              </w:rPr>
              <w:t>nguồn thu Quỹ phòng, chống thiên tai cho Ủy ban nhân dân phường, xã, đặc khu</w:t>
            </w: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Căn cứ nội dung chi và mức chi của Quỹ tại Điều 4, 5, 6 của Quy định này và số thu thực tế trên địa bàn cấp xã trong năm, Ủy ban nhân dân cấp tỉnh quyết định phân bổ cho Ủy ban nhân dân cấp xã, như sau:</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 xml:space="preserve">1. Ủy ban nhân dân cấp xã giữ lại tối đa không quá 28% số thu trên địa bàn để hỗ trợ chi thù lao cho lực lượng trực tiếp thu (không quá 5%), chi phí hành chính phát sinh liên quan đến công tác thu Quỹ (không quá 3%) và chi thực hiện các nhiệm vụ phòng, chống thiên tai tại cấp xã (không quá 20%). Số tiền thu quỹ còn lại (tối thiểu 72% số thu trên địa bàn) nộp vào tài khoản Quỹ ở cấp tỉnh. </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E53DCA" w:rsidRDefault="00123ED2" w:rsidP="003E44F3">
            <w:pPr>
              <w:spacing w:after="0" w:line="240" w:lineRule="auto"/>
              <w:jc w:val="both"/>
              <w:rPr>
                <w:color w:val="000000"/>
                <w:sz w:val="24"/>
                <w:szCs w:val="24"/>
                <w:lang w:val="de-DE"/>
              </w:rPr>
            </w:pPr>
            <w:r w:rsidRPr="00E53DCA">
              <w:rPr>
                <w:color w:val="000000"/>
                <w:sz w:val="24"/>
                <w:szCs w:val="24"/>
                <w:lang w:val="de-DE"/>
              </w:rPr>
              <w:t>2. Sau khi Ủy ban nhân dân cấp xã có báo cáo quyết toán kinh phí, Ủy ban nhân dân cấp tỉnh thực hiện thu hồi khoản phân bổ nếu còn dư hoặc quyết định phân bổ khi nguồn kinh phí để thực hiện các nhiệm vụ phòng, chống thiên tai tại cấp xã đã sử dụng hết.</w:t>
            </w:r>
          </w:p>
        </w:tc>
        <w:tc>
          <w:tcPr>
            <w:tcW w:w="1412" w:type="pct"/>
          </w:tcPr>
          <w:p w:rsidR="00123ED2" w:rsidRPr="003E44F3" w:rsidRDefault="00123ED2" w:rsidP="003E44F3">
            <w:pPr>
              <w:spacing w:after="0" w:line="240" w:lineRule="auto"/>
              <w:jc w:val="both"/>
              <w:rPr>
                <w:color w:val="000000"/>
                <w:spacing w:val="-4"/>
                <w:sz w:val="24"/>
                <w:szCs w:val="24"/>
                <w:lang w:val="de-DE"/>
              </w:rPr>
            </w:pPr>
          </w:p>
          <w:p w:rsidR="00123ED2" w:rsidRPr="003E44F3" w:rsidRDefault="00123ED2" w:rsidP="003E44F3">
            <w:pPr>
              <w:spacing w:after="0" w:line="240" w:lineRule="auto"/>
              <w:jc w:val="both"/>
              <w:rPr>
                <w:color w:val="000000"/>
                <w:spacing w:val="-4"/>
                <w:sz w:val="24"/>
                <w:szCs w:val="24"/>
                <w:lang w:val="de-DE"/>
              </w:rPr>
            </w:pPr>
          </w:p>
          <w:p w:rsidR="00123ED2" w:rsidRPr="003E44F3" w:rsidRDefault="00123ED2" w:rsidP="003E44F3">
            <w:pPr>
              <w:spacing w:after="0" w:line="240" w:lineRule="auto"/>
              <w:jc w:val="both"/>
              <w:rPr>
                <w:color w:val="000000"/>
                <w:spacing w:val="-4"/>
                <w:sz w:val="24"/>
                <w:szCs w:val="24"/>
                <w:lang w:val="de-DE"/>
              </w:rPr>
            </w:pPr>
          </w:p>
          <w:p w:rsidR="00123ED2" w:rsidRPr="003E44F3" w:rsidRDefault="00123ED2" w:rsidP="003E44F3">
            <w:pPr>
              <w:spacing w:after="0" w:line="240" w:lineRule="auto"/>
              <w:jc w:val="both"/>
              <w:rPr>
                <w:color w:val="000000"/>
                <w:spacing w:val="-4"/>
                <w:sz w:val="24"/>
                <w:szCs w:val="24"/>
                <w:lang w:val="it-IT"/>
              </w:rPr>
            </w:pPr>
            <w:r w:rsidRPr="003E44F3">
              <w:rPr>
                <w:color w:val="000000"/>
                <w:spacing w:val="-4"/>
                <w:sz w:val="24"/>
                <w:szCs w:val="24"/>
                <w:lang w:val="it-IT"/>
              </w:rPr>
              <w:t xml:space="preserve">Tại Điều 7 của dự thảo Quyết định thay thế lược bỏ phân công trách nhiệm cấp huyện do không còn tổ chức cấp huyện sau tổ chức lại bộ máy chính quyền địa phương 02 cấp so </w:t>
            </w:r>
            <w:r w:rsidRPr="003E44F3">
              <w:rPr>
                <w:color w:val="000000"/>
                <w:spacing w:val="-4"/>
                <w:sz w:val="24"/>
                <w:szCs w:val="24"/>
                <w:lang w:val="it-IT"/>
              </w:rPr>
              <w:lastRenderedPageBreak/>
              <w:t>với Quyết định số 47/QĐ-UBND</w:t>
            </w:r>
          </w:p>
          <w:p w:rsidR="00123ED2" w:rsidRPr="003E44F3" w:rsidRDefault="00123ED2" w:rsidP="003E44F3">
            <w:pPr>
              <w:spacing w:after="0" w:line="240" w:lineRule="auto"/>
              <w:jc w:val="both"/>
              <w:rPr>
                <w:color w:val="000000"/>
                <w:spacing w:val="-4"/>
                <w:sz w:val="24"/>
                <w:szCs w:val="24"/>
                <w:lang w:val="de-DE"/>
              </w:rPr>
            </w:pPr>
          </w:p>
          <w:p w:rsidR="00123ED2" w:rsidRPr="003E44F3" w:rsidRDefault="00123ED2" w:rsidP="003E44F3">
            <w:pPr>
              <w:spacing w:after="0" w:line="240" w:lineRule="auto"/>
              <w:jc w:val="both"/>
              <w:rPr>
                <w:color w:val="000000"/>
                <w:spacing w:val="-4"/>
                <w:sz w:val="24"/>
                <w:szCs w:val="24"/>
                <w:lang w:val="de-DE"/>
              </w:rPr>
            </w:pPr>
          </w:p>
          <w:p w:rsidR="00123ED2" w:rsidRPr="003E44F3" w:rsidRDefault="00123ED2" w:rsidP="003E44F3">
            <w:pPr>
              <w:spacing w:after="0" w:line="240" w:lineRule="auto"/>
              <w:jc w:val="both"/>
              <w:rPr>
                <w:color w:val="000000"/>
                <w:spacing w:val="-4"/>
                <w:sz w:val="24"/>
                <w:szCs w:val="24"/>
                <w:lang w:val="de-DE"/>
              </w:rPr>
            </w:pPr>
          </w:p>
        </w:tc>
      </w:tr>
      <w:tr w:rsidR="00123ED2" w:rsidRPr="009C4667" w:rsidTr="003E44F3">
        <w:trPr>
          <w:gridBefore w:val="1"/>
        </w:trPr>
        <w:tc>
          <w:tcPr>
            <w:tcW w:w="1766" w:type="pct"/>
          </w:tcPr>
          <w:p w:rsidR="00123ED2" w:rsidRPr="009C4667" w:rsidRDefault="00123ED2" w:rsidP="003E44F3">
            <w:pPr>
              <w:spacing w:after="0" w:line="240" w:lineRule="auto"/>
              <w:jc w:val="both"/>
              <w:rPr>
                <w:color w:val="000000"/>
                <w:sz w:val="24"/>
                <w:szCs w:val="24"/>
                <w:lang w:val="de-DE"/>
              </w:rPr>
            </w:pPr>
          </w:p>
        </w:tc>
        <w:tc>
          <w:tcPr>
            <w:tcW w:w="1822" w:type="pct"/>
            <w:vAlign w:val="center"/>
          </w:tcPr>
          <w:p w:rsidR="00123ED2" w:rsidRPr="009C4667" w:rsidRDefault="00123ED2" w:rsidP="003E44F3">
            <w:pPr>
              <w:spacing w:after="0" w:line="240" w:lineRule="auto"/>
              <w:jc w:val="both"/>
              <w:rPr>
                <w:b/>
                <w:bCs/>
                <w:color w:val="000000"/>
                <w:sz w:val="24"/>
                <w:szCs w:val="24"/>
                <w:lang w:val="de-DE"/>
              </w:rPr>
            </w:pPr>
            <w:r w:rsidRPr="009C4667">
              <w:rPr>
                <w:b/>
                <w:bCs/>
                <w:color w:val="000000"/>
                <w:sz w:val="24"/>
                <w:szCs w:val="24"/>
                <w:lang w:val="de-DE"/>
              </w:rPr>
              <w:t xml:space="preserve">Chương III. </w:t>
            </w:r>
            <w:bookmarkStart w:id="6" w:name="chuong_4_name"/>
            <w:r w:rsidRPr="009C4667">
              <w:rPr>
                <w:b/>
                <w:bCs/>
                <w:color w:val="000000"/>
                <w:sz w:val="24"/>
                <w:szCs w:val="24"/>
                <w:lang w:val="de-DE"/>
              </w:rPr>
              <w:t>TỔ CHỨC THỰC HIỆN</w:t>
            </w:r>
            <w:bookmarkEnd w:id="6"/>
          </w:p>
        </w:tc>
        <w:tc>
          <w:tcPr>
            <w:tcW w:w="1412" w:type="pct"/>
          </w:tcPr>
          <w:p w:rsidR="00123ED2" w:rsidRPr="003E44F3" w:rsidRDefault="00123ED2" w:rsidP="003E44F3">
            <w:pPr>
              <w:spacing w:after="0" w:line="240" w:lineRule="auto"/>
              <w:jc w:val="both"/>
              <w:rPr>
                <w:color w:val="000000"/>
                <w:spacing w:val="-4"/>
                <w:sz w:val="24"/>
                <w:szCs w:val="24"/>
                <w:lang w:val="de-DE"/>
              </w:rPr>
            </w:pPr>
          </w:p>
        </w:tc>
      </w:tr>
      <w:tr w:rsidR="00123ED2" w:rsidRPr="009C4667" w:rsidTr="003E44F3">
        <w:trPr>
          <w:gridBefore w:val="1"/>
        </w:trPr>
        <w:tc>
          <w:tcPr>
            <w:tcW w:w="1766" w:type="pct"/>
          </w:tcPr>
          <w:p w:rsidR="00123ED2" w:rsidRPr="009C4667" w:rsidRDefault="00123ED2" w:rsidP="003E44F3">
            <w:pPr>
              <w:spacing w:after="0" w:line="240" w:lineRule="auto"/>
              <w:jc w:val="both"/>
              <w:rPr>
                <w:b/>
                <w:color w:val="000000"/>
                <w:sz w:val="24"/>
                <w:szCs w:val="24"/>
                <w:lang w:val="de-DE"/>
              </w:rPr>
            </w:pPr>
            <w:r w:rsidRPr="009C4667">
              <w:rPr>
                <w:b/>
                <w:color w:val="000000"/>
                <w:sz w:val="24"/>
                <w:szCs w:val="24"/>
                <w:lang w:val="de-DE"/>
              </w:rPr>
              <w:t>Điều 3. Tổ chức thực hiện</w:t>
            </w: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b/>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1. Sở Nông nghiệp và Môi trường</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a) Chịu trách nhiệm tổng hợp thiệt hại và nhu cầu hỗ trợ của Ủy ban nhân dân cấp huyện và các cơ quan, tổ chức liên quan, kiểm tra, rà soát và đề xuất trình Chủ tịch Ủy ban nhân dân tỉnh quyết định.</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b) Hướng dẫn, tổ chức thực hiện quản lý thu, nộp, sử dụng Quỹ hiệu quả; thực hiện chế độ quản lý và sử dụng nguồn tài chính Quỹ; xây dựng kế hoạch thu, chi Quỹ hằng năm trình Ủy ban nhân dân tỉnh phê duyệt.</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c) Kiểm tra, giám sát tình hình tài chính, thu, chi và quản lý sử dụng Quỹ tại các địa phương.</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d) Chịu trách nhiệm thẩm tra quyết toán theo quy định; báo cáo quyết toán gửi Sở Tài chính thẩm định trình Ủy ban nhân dân tỉnh phê duyệt quyết toán trong Quý I hàng năm; báo cáo kết quả thu, chi quỹ với Cơ quan quản lý Quỹ trung ương trước ngày 25 hằng tháng.</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 xml:space="preserve">2. Sở Tài chính phối hợp với Sở Nông nghiệp và Môi trường hướng dẫn Quỹ thực hiện chế độ quản lý và sử </w:t>
            </w:r>
            <w:r w:rsidRPr="009C4667">
              <w:rPr>
                <w:color w:val="000000"/>
                <w:sz w:val="24"/>
                <w:szCs w:val="24"/>
                <w:lang w:val="de-DE"/>
              </w:rPr>
              <w:lastRenderedPageBreak/>
              <w:t>dụng nguồn tài chính Quỹ; thẩm định báo cáo quyết toán Quỹ trình Ủy ban nhân dân tỉnh trong Quý I hằng năm; phối hợp kiểm tra, giám sát tình hình tài chính của Quỹ theo chức năng, nhiệm vụ quản lý Nhà nước được Ủy ban nhân dân tỉnh giao; phối hợp cung cấp danh sách các tổ chức kinh tế trong nước và ngoài nước đã đăng ký và đang hoạt động trên địa bàn tỉnh cho Quỹ khi có yêu cầu để làm cơ sở cho việc xây dựng kế hoạch và thực hiện thu nộp Quỹ.</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3. Chi cục Thuế khu vực XIX có trách nhiệm phối hợp và chỉ đạo Đội Thuế  cấp huyện trong việc hỗ trợ thu quỹ, lập kế hoạch thu Quỹ và cung cấp thông tin tổng giá trị tài sản hiện có theo báo cáo tài chính lập ngày 31 tháng 12 hàng năm của các tổ chức kinh tế trong nước và nước ngoài trên địa bàn; thông tin tại điểm i, điểm k khoản 1 và khoản 2 Điều 13 của Nghị định số 78/2021/NĐ-CP cho Cơ quan quản lý Quỹ, Ủy ban nhân dân cấp huyện trước ngày 15 tháng 3 của năm kế hoạch để làm cơ sở cho việc xây dựng kế hoạch thu Quỹ.</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4. Cơ quan Bảo hiểm xã hội có trách nhiệm cung cấp thông tin về số lượng, người lao động làm việc theo hợp đồng lao động của các tổ chức kinh tế trên địa bàn trong nước và nước ngoài trên địa bàn tỉnh tại từng huyện, thị xã, thành phố theo quy định tại điểm b khoản 7 Điều 15 Nghị định số 78/2021/NĐ-CP cho Cơ quan quản lý Quỹ, Ủy ban nhân dân cấp huyện, cấp xã trước ngày 15 tháng 3 hằng năm để làm cơ sở cho việc xây dựng kế hoạch thu Quỹ.</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 xml:space="preserve">5. Kho bạc Nhà nước có trách nhiệm tiếp nhận, đối chiếu nguồn đóng góp Quỹ từ các địa phương, đơn vị </w:t>
            </w:r>
            <w:r w:rsidRPr="009C4667">
              <w:rPr>
                <w:color w:val="000000"/>
                <w:sz w:val="24"/>
                <w:szCs w:val="24"/>
                <w:lang w:val="de-DE"/>
              </w:rPr>
              <w:lastRenderedPageBreak/>
              <w:t>chuyển về tài khoản mở tại Kho bạc Nhà nước và cấp phát khi có đề nghị của Cơ quan quản lý Quỹ, xác nhận số dư Quỹ báo cáo Ủy ban nhân dân tỉnh, Sở Tài chính theo định kỳ.</w:t>
            </w: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 xml:space="preserve">6. Thủ trưởng các sở, ban, ngành và các cơ quan, tổ chức trên địa bàn tỉnh có trách nhiệm tổ chức thu, nộp Quỹ theo quy định tại Quy định này. </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7. Ủy ban nhân dân cấp huyện, xã có trách nhiệm kiểm tra, đôn đốc, hướng dẫn và tổ chức lập kế hoạch thu, nộp Quỹ của các tổ chức, cá nhân theo quy định, bộ phận thường trực thu nộp Quỹ giao cho Phòng Tài chính - Kế hoạch chủ trì cùng phối hợp với Phòng Nông nghiệp và Môi trường và các phòng, cơ quan, đơn vị liên quan để giúp Ủy ban nhân dân cấp huyện quản lý thu, nộp Quỹ theo quy định.</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r w:rsidRPr="009C4667">
              <w:rPr>
                <w:color w:val="000000"/>
                <w:sz w:val="24"/>
                <w:szCs w:val="24"/>
                <w:lang w:val="de-DE"/>
              </w:rPr>
              <w:t>8. Ủy ban nhân dân cấp huyện, xã và cơ quan, đơn vị sử dụng Quỹ báo cáo quyết toán gửi Cơ quan quản lý Quỹ trước ngày 25 tháng 02 hằng năm để thẩm tra gửi Sở Tài chính thẩm định trình Ủy ban nhân dân tỉnh phê duyệt quyết toán trong Quý I hằng năm.</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tc>
        <w:tc>
          <w:tcPr>
            <w:tcW w:w="1822" w:type="pct"/>
            <w:vAlign w:val="center"/>
          </w:tcPr>
          <w:p w:rsidR="00123ED2" w:rsidRPr="009C4667" w:rsidRDefault="00123ED2" w:rsidP="003E44F3">
            <w:pPr>
              <w:spacing w:after="0" w:line="240" w:lineRule="auto"/>
              <w:jc w:val="both"/>
              <w:rPr>
                <w:b/>
                <w:bCs/>
                <w:color w:val="000000"/>
                <w:sz w:val="24"/>
                <w:szCs w:val="24"/>
                <w:lang w:val="de-DE"/>
              </w:rPr>
            </w:pPr>
            <w:r w:rsidRPr="009C4667">
              <w:rPr>
                <w:b/>
                <w:bCs/>
                <w:color w:val="000000"/>
                <w:sz w:val="24"/>
                <w:szCs w:val="24"/>
                <w:lang w:val="de-DE"/>
              </w:rPr>
              <w:lastRenderedPageBreak/>
              <w:t>Điều 8. Phân công trách nhiệm</w:t>
            </w:r>
          </w:p>
          <w:p w:rsidR="00123ED2" w:rsidRPr="009C4667" w:rsidRDefault="00123ED2" w:rsidP="003E44F3">
            <w:pPr>
              <w:spacing w:after="0" w:line="240" w:lineRule="auto"/>
              <w:jc w:val="both"/>
              <w:rPr>
                <w:color w:val="000000"/>
                <w:sz w:val="24"/>
                <w:szCs w:val="24"/>
                <w:lang w:val="de-DE"/>
              </w:rPr>
            </w:pPr>
            <w:bookmarkStart w:id="7" w:name="_Hlk184905928"/>
            <w:r w:rsidRPr="009C4667">
              <w:rPr>
                <w:color w:val="000000"/>
                <w:sz w:val="24"/>
                <w:szCs w:val="24"/>
                <w:lang w:val="de-DE"/>
              </w:rPr>
              <w:t xml:space="preserve">1. Các sở, ngành, địa phương, đơn vị được Ủy ban nhân dân tỉnh cấp kinh phí từ Quỹ Phòng, chống thiên tai tỉnh phải thực hiện đầy đủ các nội dung, hạng mục đúng tiến độ và quyết toán kịp thời theo quy định; chịu trách nhiệm về việc đảm bảo an toàn công trình phòng chống thiên tai và các hạng mục, công việc liên quan đến công tác phòng chống thiên tai do sự chậm trễ tiến độ và </w:t>
            </w:r>
            <w:r w:rsidRPr="009C4667">
              <w:rPr>
                <w:color w:val="000000"/>
                <w:sz w:val="24"/>
                <w:szCs w:val="24"/>
                <w:lang w:val="de-DE"/>
              </w:rPr>
              <w:br/>
              <w:t xml:space="preserve">quyết toán; lưu ý thời hạn quyết toán Quỹ phải thực hiện trong năm tài chính đối với các khoản chi được cấp kinh phí trước ngày 30 tháng 9 hàng năm và được gia hạn thời gian quyết toán sang năm sau đối với các khoản chi được cấp kinh phí sau ngày 30 tháng 9 hàng năm theo </w:t>
            </w:r>
            <w:r w:rsidRPr="009C4667">
              <w:rPr>
                <w:color w:val="000000"/>
                <w:sz w:val="24"/>
                <w:szCs w:val="24"/>
                <w:lang w:val="de-DE"/>
              </w:rPr>
              <w:lastRenderedPageBreak/>
              <w:t>quy định của Luật Ngân sách Nhà nước và các quy định của pháp luật hiện hành có liên quan.</w:t>
            </w:r>
          </w:p>
          <w:p w:rsidR="00123ED2" w:rsidRPr="009C4667" w:rsidRDefault="00123ED2" w:rsidP="003E44F3">
            <w:pPr>
              <w:spacing w:after="0" w:line="240" w:lineRule="auto"/>
              <w:jc w:val="both"/>
              <w:rPr>
                <w:color w:val="000000"/>
                <w:sz w:val="24"/>
                <w:szCs w:val="24"/>
                <w:lang w:val="de-DE"/>
              </w:rPr>
            </w:pPr>
          </w:p>
          <w:p w:rsidR="00123ED2" w:rsidRPr="009C4667" w:rsidRDefault="00123ED2" w:rsidP="003E44F3">
            <w:pPr>
              <w:spacing w:after="0" w:line="240" w:lineRule="auto"/>
              <w:jc w:val="both"/>
              <w:rPr>
                <w:iCs/>
                <w:color w:val="000000"/>
                <w:sz w:val="24"/>
                <w:szCs w:val="24"/>
                <w:lang w:val="de-DE"/>
              </w:rPr>
            </w:pPr>
            <w:r w:rsidRPr="009C4667">
              <w:rPr>
                <w:color w:val="000000"/>
                <w:sz w:val="24"/>
                <w:szCs w:val="24"/>
                <w:lang w:val="de-DE"/>
              </w:rPr>
              <w:t xml:space="preserve">2. </w:t>
            </w:r>
            <w:r w:rsidRPr="009C4667">
              <w:rPr>
                <w:iCs/>
                <w:color w:val="000000"/>
                <w:sz w:val="24"/>
                <w:szCs w:val="24"/>
                <w:lang w:val="de-DE"/>
              </w:rPr>
              <w:t>Sở Nông nghiệp và Môi trường (</w:t>
            </w:r>
            <w:r w:rsidRPr="003E44F3">
              <w:rPr>
                <w:iCs/>
                <w:color w:val="000000"/>
                <w:sz w:val="24"/>
                <w:szCs w:val="24"/>
                <w:lang w:val="vi-VN"/>
              </w:rPr>
              <w:t>Cơ quan quản lý Quỹ)</w:t>
            </w:r>
          </w:p>
          <w:p w:rsidR="00123ED2" w:rsidRPr="009C4667" w:rsidRDefault="00123ED2" w:rsidP="003E44F3">
            <w:pPr>
              <w:spacing w:after="0" w:line="240" w:lineRule="auto"/>
              <w:jc w:val="both"/>
              <w:rPr>
                <w:iCs/>
                <w:color w:val="000000"/>
                <w:sz w:val="24"/>
                <w:szCs w:val="24"/>
                <w:lang w:val="de-DE"/>
              </w:rPr>
            </w:pPr>
            <w:r w:rsidRPr="009C4667">
              <w:rPr>
                <w:iCs/>
                <w:color w:val="000000"/>
                <w:sz w:val="24"/>
                <w:szCs w:val="24"/>
                <w:lang w:val="de-DE"/>
              </w:rPr>
              <w:t>a) Chịu trách nhiệm tổng hợp thiệt hại và nhu cầu hỗ trợ của Ủy ban nhân dân cấp xã và các cơ quan, tổ chức liên quan, kiểm tra, rà soát và đề xuất trình Chủ tịch Ủy ban nhân dân tỉnh quyết định.</w:t>
            </w:r>
          </w:p>
          <w:p w:rsidR="00123ED2" w:rsidRPr="009C4667" w:rsidRDefault="00123ED2" w:rsidP="003E44F3">
            <w:pPr>
              <w:spacing w:after="0" w:line="240" w:lineRule="auto"/>
              <w:jc w:val="both"/>
              <w:rPr>
                <w:iCs/>
                <w:color w:val="000000"/>
                <w:sz w:val="24"/>
                <w:szCs w:val="24"/>
                <w:lang w:val="de-DE"/>
              </w:rPr>
            </w:pPr>
          </w:p>
          <w:p w:rsidR="00123ED2" w:rsidRPr="003E44F3" w:rsidRDefault="00123ED2" w:rsidP="003E44F3">
            <w:pPr>
              <w:spacing w:after="0" w:line="240" w:lineRule="auto"/>
              <w:jc w:val="both"/>
              <w:rPr>
                <w:iCs/>
                <w:color w:val="000000"/>
                <w:sz w:val="24"/>
                <w:szCs w:val="24"/>
                <w:lang w:val="nl-NL"/>
              </w:rPr>
            </w:pPr>
            <w:r w:rsidRPr="009C4667">
              <w:rPr>
                <w:iCs/>
                <w:color w:val="000000"/>
                <w:sz w:val="24"/>
                <w:szCs w:val="24"/>
                <w:lang w:val="de-DE"/>
              </w:rPr>
              <w:t xml:space="preserve">b) Hướng dẫn, tổ chức thực hiện quản lý thu, nộp, sử dụng Quỹ hiệu quả; </w:t>
            </w:r>
            <w:r w:rsidRPr="003E44F3">
              <w:rPr>
                <w:iCs/>
                <w:color w:val="000000"/>
                <w:sz w:val="24"/>
                <w:szCs w:val="24"/>
                <w:lang w:val="nl-NL"/>
              </w:rPr>
              <w:t>thực hiện chế độ quản lý và sử dụng nguồn tài chính Quỹ; xây dựng kế hoạch thu, chi Quỹ hằng năm trình Ủy ban nhân dân tỉnh phê duyệt.</w:t>
            </w:r>
          </w:p>
          <w:p w:rsidR="00123ED2" w:rsidRPr="003E44F3" w:rsidRDefault="00123ED2" w:rsidP="003E44F3">
            <w:pPr>
              <w:spacing w:after="0" w:line="240" w:lineRule="auto"/>
              <w:jc w:val="both"/>
              <w:rPr>
                <w:iCs/>
                <w:color w:val="000000"/>
                <w:sz w:val="24"/>
                <w:szCs w:val="24"/>
                <w:lang w:val="nl-NL"/>
              </w:rPr>
            </w:pPr>
          </w:p>
          <w:p w:rsidR="00123ED2" w:rsidRPr="003E44F3" w:rsidRDefault="00123ED2" w:rsidP="003E44F3">
            <w:pPr>
              <w:spacing w:after="0" w:line="240" w:lineRule="auto"/>
              <w:jc w:val="both"/>
              <w:rPr>
                <w:iCs/>
                <w:color w:val="000000"/>
                <w:sz w:val="24"/>
                <w:szCs w:val="24"/>
                <w:lang w:val="nl-NL"/>
              </w:rPr>
            </w:pPr>
            <w:r w:rsidRPr="003E44F3">
              <w:rPr>
                <w:iCs/>
                <w:color w:val="000000"/>
                <w:sz w:val="24"/>
                <w:szCs w:val="24"/>
                <w:lang w:val="nl-NL"/>
              </w:rPr>
              <w:t>c) Kiểm tra, giám sát tình hình tài chính, thu, chi và quản lý sử dụng Quỹ tại các địa phương.</w:t>
            </w:r>
          </w:p>
          <w:p w:rsidR="00123ED2" w:rsidRPr="003E44F3" w:rsidRDefault="00123ED2" w:rsidP="003E44F3">
            <w:pPr>
              <w:spacing w:after="0" w:line="240" w:lineRule="auto"/>
              <w:jc w:val="both"/>
              <w:rPr>
                <w:iCs/>
                <w:color w:val="000000"/>
                <w:sz w:val="24"/>
                <w:szCs w:val="24"/>
                <w:lang w:val="nl-NL"/>
              </w:rPr>
            </w:pPr>
          </w:p>
          <w:p w:rsidR="00123ED2" w:rsidRPr="009C4667" w:rsidRDefault="00123ED2" w:rsidP="003E44F3">
            <w:pPr>
              <w:spacing w:after="0" w:line="240" w:lineRule="auto"/>
              <w:jc w:val="both"/>
              <w:rPr>
                <w:color w:val="000000"/>
                <w:sz w:val="24"/>
                <w:szCs w:val="24"/>
                <w:lang w:val="nl-NL"/>
              </w:rPr>
            </w:pPr>
            <w:r w:rsidRPr="003E44F3">
              <w:rPr>
                <w:iCs/>
                <w:color w:val="000000"/>
                <w:sz w:val="24"/>
                <w:szCs w:val="24"/>
                <w:lang w:val="nl-NL"/>
              </w:rPr>
              <w:t>d) Chịu trách nhiệm thẩm tra quyết toán theo quy định; b</w:t>
            </w:r>
            <w:r w:rsidRPr="009C4667">
              <w:rPr>
                <w:color w:val="000000"/>
                <w:sz w:val="24"/>
                <w:szCs w:val="24"/>
                <w:lang w:val="nl-NL"/>
              </w:rPr>
              <w:t>áo cáo quyết toán gửi Sở Tài chính thẩm định trình Ủy ban nhân dân tỉnh phê duyệt quyết toán trong Quý I hàng năm; báo cáo kết quả thu, chi quỹ với Cơ quan quản lý Quỹ trung ương trước ngày 25 hàng tháng.</w:t>
            </w:r>
          </w:p>
          <w:p w:rsidR="00123ED2" w:rsidRPr="009C4667" w:rsidRDefault="00123ED2" w:rsidP="003E44F3">
            <w:pPr>
              <w:spacing w:after="0" w:line="240" w:lineRule="auto"/>
              <w:jc w:val="both"/>
              <w:rPr>
                <w:color w:val="000000"/>
                <w:sz w:val="24"/>
                <w:szCs w:val="24"/>
                <w:lang w:val="nl-NL"/>
              </w:rPr>
            </w:pPr>
          </w:p>
          <w:p w:rsidR="00123ED2" w:rsidRPr="009C4667" w:rsidRDefault="00123ED2" w:rsidP="003E44F3">
            <w:pPr>
              <w:spacing w:after="0" w:line="240" w:lineRule="auto"/>
              <w:jc w:val="both"/>
              <w:rPr>
                <w:color w:val="000000"/>
                <w:sz w:val="24"/>
                <w:szCs w:val="24"/>
                <w:lang w:val="nl-NL"/>
              </w:rPr>
            </w:pPr>
            <w:r w:rsidRPr="009C4667">
              <w:rPr>
                <w:color w:val="000000"/>
                <w:sz w:val="24"/>
                <w:szCs w:val="24"/>
                <w:lang w:val="nl-NL"/>
              </w:rPr>
              <w:t>e) Chịu trách nhiệm công khai kết quả thu, danh sách và mức thu đối với từng cơ quan, tổ chức, đơn vị và từng xã; báo cáo quyết toán thu, chi; nội dung chi theo địa bàn cấp xã bằng các hình thức: niêm yết tại trụ sở Quỹ cấp tỉnh; thông báo bằng văn bản tới cơ quan, tổ chức đóng góp quỹ; công khai trên Cổng thông tin điện tử của cơ quan quản lý Quỹ cấp tỉnh hoặc Ủy ban nhân dân cấp tỉnh.</w:t>
            </w:r>
          </w:p>
          <w:bookmarkEnd w:id="7"/>
          <w:p w:rsidR="00123ED2" w:rsidRPr="009C4667" w:rsidRDefault="00123ED2" w:rsidP="003E44F3">
            <w:pPr>
              <w:spacing w:after="0" w:line="240" w:lineRule="auto"/>
              <w:jc w:val="both"/>
              <w:rPr>
                <w:color w:val="000000"/>
                <w:sz w:val="24"/>
                <w:szCs w:val="24"/>
                <w:lang w:val="nl-NL"/>
              </w:rPr>
            </w:pPr>
            <w:r w:rsidRPr="009C4667">
              <w:rPr>
                <w:color w:val="000000"/>
                <w:sz w:val="24"/>
                <w:szCs w:val="24"/>
                <w:lang w:val="nl-NL"/>
              </w:rPr>
              <w:t xml:space="preserve">3. Sở Tài chính phối hợp với Sở Nông nghiệp và Môi trường hướng dẫn Quỹ thực hiện chế độ quản lý và sử </w:t>
            </w:r>
            <w:r w:rsidRPr="009C4667">
              <w:rPr>
                <w:color w:val="000000"/>
                <w:sz w:val="24"/>
                <w:szCs w:val="24"/>
                <w:lang w:val="nl-NL"/>
              </w:rPr>
              <w:lastRenderedPageBreak/>
              <w:t>dụng nguồn tài chính Quỹ; thẩm định báo cáo quyết toán Quỹ trình Ủy ban nhân dân tỉnh trong Quý I hằng năm; phối hợp kiểm tra, giám sát tình hình tài chính của Quỹ theo chức năng, nhiệm vụ quản lý Nhà nước được Ủy ban nhân dân tỉnh giao; phối hợp cung cấp danh sách các tổ chức kinh tế trong nước và ngoài nước đã đăng ký và đang hoạt động trên địa bàn tỉnh cho Quỹ khi có yêu cầu để làm cơ sở cho việc xây dựng kế hoạch và thực hiện thu nộp Quỹ.</w:t>
            </w:r>
          </w:p>
          <w:p w:rsidR="00123ED2" w:rsidRPr="009C4667" w:rsidRDefault="00123ED2" w:rsidP="003E44F3">
            <w:pPr>
              <w:spacing w:after="0" w:line="240" w:lineRule="auto"/>
              <w:jc w:val="both"/>
              <w:rPr>
                <w:color w:val="000000"/>
                <w:sz w:val="24"/>
                <w:szCs w:val="24"/>
                <w:lang w:val="nl-NL"/>
              </w:rPr>
            </w:pPr>
          </w:p>
          <w:p w:rsidR="00123ED2" w:rsidRPr="009C4667" w:rsidRDefault="00123ED2" w:rsidP="003E44F3">
            <w:pPr>
              <w:spacing w:after="0" w:line="240" w:lineRule="auto"/>
              <w:jc w:val="both"/>
              <w:rPr>
                <w:color w:val="000000"/>
                <w:sz w:val="24"/>
                <w:szCs w:val="24"/>
                <w:lang w:val="nl-NL"/>
              </w:rPr>
            </w:pPr>
            <w:r w:rsidRPr="009C4667">
              <w:rPr>
                <w:color w:val="000000"/>
                <w:sz w:val="24"/>
                <w:szCs w:val="24"/>
                <w:lang w:val="nl-NL"/>
              </w:rPr>
              <w:t>4. Thuế tỉnh An Giang có trách nhiệm phối hợp và chỉ đạo Thuế cơ sở trong việc hỗ trợ thu quỹ, lập kế hoạch thu Quỹ và cung cấp thông tin tổng giá trị tài sản hiện có theo báo cáo tài chính lập ngày 31 tháng 12 hàng năm của các tổ chức kinh tế trong nước và nước ngoài trên địa bàn; thông tin tại điểm i, điểm k khoản 1 và khoản 2 Điều 13 của Nghị định số 78/2021/NĐ-CP cho Cơ quan quản lý Quỹ, Ủy ban nhân dân cấp xã trước ngày 15 tháng 3 của năm kế hoạch để làm cơ sở cho việc xây dựng kế hoạch thu Quỹ.</w:t>
            </w:r>
          </w:p>
          <w:p w:rsidR="00123ED2" w:rsidRPr="009C4667" w:rsidRDefault="00123ED2" w:rsidP="003E44F3">
            <w:pPr>
              <w:spacing w:after="0" w:line="240" w:lineRule="auto"/>
              <w:jc w:val="both"/>
              <w:rPr>
                <w:color w:val="000000"/>
                <w:sz w:val="24"/>
                <w:szCs w:val="24"/>
                <w:lang w:val="nl-NL"/>
              </w:rPr>
            </w:pPr>
          </w:p>
          <w:p w:rsidR="00123ED2" w:rsidRPr="009C4667" w:rsidRDefault="00123ED2" w:rsidP="003E44F3">
            <w:pPr>
              <w:spacing w:after="0" w:line="240" w:lineRule="auto"/>
              <w:jc w:val="both"/>
              <w:rPr>
                <w:color w:val="000000"/>
                <w:sz w:val="24"/>
                <w:szCs w:val="24"/>
                <w:lang w:val="nl-NL"/>
              </w:rPr>
            </w:pPr>
          </w:p>
          <w:p w:rsidR="00123ED2" w:rsidRPr="009C4667" w:rsidRDefault="00123ED2" w:rsidP="003E44F3">
            <w:pPr>
              <w:spacing w:after="0" w:line="240" w:lineRule="auto"/>
              <w:jc w:val="both"/>
              <w:rPr>
                <w:color w:val="000000"/>
                <w:sz w:val="24"/>
                <w:szCs w:val="24"/>
                <w:lang w:val="nl-NL"/>
              </w:rPr>
            </w:pPr>
            <w:r w:rsidRPr="009C4667">
              <w:rPr>
                <w:color w:val="000000"/>
                <w:sz w:val="24"/>
                <w:szCs w:val="24"/>
                <w:lang w:val="nl-NL"/>
              </w:rPr>
              <w:t>5. Bảo hiểm xã hội tỉnh An Giang có trách nhiệm phối hợp và chỉ đạo Bảo hiểm xã hội cơ sở trên địa bàn cung cấp thông tin về số lượng công chức, viên chức, người hưởng lương, phụ cấp, người lao động làm việc trong các cơ quan, tổ chức và người lao động làm việc theo hợp đồng lao động của các tổ chức kinh tế trong nước và nước ngoài trên địa bàn tỉnh tại xã, phường, đặc khu đang tham gia bảo hiểm xã hội cho cơ quan quản lý Quỹ cấp tỉnh, Ủy ban nhân dân xã để làm cơ sở cho việc xây dựng kế hoạch thu.</w:t>
            </w:r>
          </w:p>
          <w:p w:rsidR="00123ED2" w:rsidRPr="009C4667" w:rsidRDefault="00123ED2" w:rsidP="003E44F3">
            <w:pPr>
              <w:spacing w:after="0" w:line="240" w:lineRule="auto"/>
              <w:jc w:val="both"/>
              <w:rPr>
                <w:color w:val="000000"/>
                <w:sz w:val="24"/>
                <w:szCs w:val="24"/>
                <w:lang w:val="nl-NL"/>
              </w:rPr>
            </w:pPr>
            <w:r w:rsidRPr="009C4667">
              <w:rPr>
                <w:color w:val="000000"/>
                <w:sz w:val="24"/>
                <w:szCs w:val="24"/>
                <w:lang w:val="nl-NL"/>
              </w:rPr>
              <w:t xml:space="preserve">6. Kho bạc Nhà nước khu vực XX có trách nhiệm tiếp nhận, đối chiếu nguồn đóng góp Quỹ từ các địa phương, </w:t>
            </w:r>
            <w:r w:rsidRPr="009C4667">
              <w:rPr>
                <w:color w:val="000000"/>
                <w:sz w:val="24"/>
                <w:szCs w:val="24"/>
                <w:lang w:val="nl-NL"/>
              </w:rPr>
              <w:lastRenderedPageBreak/>
              <w:t>đơn vị chuyển về tài khoản mở tại Kho bạc Nhà nước khu vực XX và cấp phát khi có đề nghị của Cơ quan quản lý Quỹ, xác nhận số dư Quỹ báo cáo Ủy ban nhân dân tỉnh, Sở Tài chính theo định kỳ.</w:t>
            </w:r>
          </w:p>
          <w:p w:rsidR="00123ED2" w:rsidRPr="009C4667" w:rsidRDefault="00123ED2" w:rsidP="003E44F3">
            <w:pPr>
              <w:spacing w:after="0" w:line="240" w:lineRule="auto"/>
              <w:jc w:val="both"/>
              <w:rPr>
                <w:color w:val="000000"/>
                <w:sz w:val="24"/>
                <w:szCs w:val="24"/>
                <w:lang w:val="nl-NL"/>
              </w:rPr>
            </w:pPr>
            <w:r w:rsidRPr="009C4667">
              <w:rPr>
                <w:color w:val="000000"/>
                <w:sz w:val="24"/>
                <w:szCs w:val="24"/>
                <w:lang w:val="nl-NL"/>
              </w:rPr>
              <w:t xml:space="preserve">7. Thủ trưởng các sở, ban, ngành và các cơ quan, tổ chức trên địa bàn tỉnh có trách nhiệm tổ chức thu, nộp Quỹ theo quy định tại Quy định này. </w:t>
            </w:r>
          </w:p>
          <w:p w:rsidR="00123ED2" w:rsidRPr="009C4667" w:rsidRDefault="00123ED2" w:rsidP="003E44F3">
            <w:pPr>
              <w:spacing w:after="0" w:line="240" w:lineRule="auto"/>
              <w:jc w:val="both"/>
              <w:rPr>
                <w:color w:val="000000"/>
                <w:sz w:val="24"/>
                <w:szCs w:val="24"/>
                <w:lang w:val="nl-NL"/>
              </w:rPr>
            </w:pPr>
          </w:p>
          <w:p w:rsidR="00123ED2" w:rsidRPr="009C4667" w:rsidRDefault="00123ED2" w:rsidP="003E44F3">
            <w:pPr>
              <w:spacing w:after="0" w:line="240" w:lineRule="auto"/>
              <w:jc w:val="both"/>
              <w:rPr>
                <w:color w:val="000000"/>
                <w:sz w:val="24"/>
                <w:szCs w:val="24"/>
              </w:rPr>
            </w:pPr>
            <w:r w:rsidRPr="009C4667">
              <w:rPr>
                <w:color w:val="000000"/>
                <w:sz w:val="24"/>
                <w:szCs w:val="24"/>
              </w:rPr>
              <w:t>8. Ủy ban nhân dân cấp xã</w:t>
            </w:r>
          </w:p>
          <w:p w:rsidR="00123ED2" w:rsidRPr="009C4667" w:rsidRDefault="00123ED2" w:rsidP="003E44F3">
            <w:pPr>
              <w:spacing w:after="0" w:line="240" w:lineRule="auto"/>
              <w:jc w:val="both"/>
              <w:rPr>
                <w:color w:val="000000"/>
                <w:sz w:val="24"/>
                <w:szCs w:val="24"/>
              </w:rPr>
            </w:pPr>
            <w:r w:rsidRPr="009C4667">
              <w:rPr>
                <w:color w:val="000000"/>
                <w:sz w:val="24"/>
                <w:szCs w:val="24"/>
              </w:rPr>
              <w:t>a) Căn cứ đối tượng, mức đóng góp thuộc phạm vi quản lý, các đối tượng miễn, giảm, tạm hoãn theo quy định của Nghị định số 78/2021/NĐ-CP để xây dựng kế hoạch thu, chi của cấp xã hằng năm của phần kinh phí được UBND tỉnh phân bổ tại Điều 6 của Quy định này.</w:t>
            </w:r>
          </w:p>
          <w:p w:rsidR="00123ED2" w:rsidRPr="009C4667" w:rsidRDefault="00123ED2" w:rsidP="003E44F3">
            <w:pPr>
              <w:spacing w:after="0" w:line="240" w:lineRule="auto"/>
              <w:jc w:val="both"/>
              <w:rPr>
                <w:color w:val="000000"/>
                <w:sz w:val="24"/>
                <w:szCs w:val="24"/>
              </w:rPr>
            </w:pPr>
            <w:r w:rsidRPr="009C4667">
              <w:rPr>
                <w:color w:val="000000"/>
                <w:sz w:val="24"/>
                <w:szCs w:val="24"/>
              </w:rPr>
              <w:t>b) Ủy ban nhân dân cấp xã tổ chức thu của các đối tượng lao động khác trên địa bàn theo quy định tại điểm c khoản 3 Điều 12 của Nghị định số 78/2021/NĐ-CP và chuyển vào tài khoản ở cấp xã do Ủy ban nhân dân cấp tỉnh ủy quyền.</w:t>
            </w:r>
          </w:p>
          <w:p w:rsidR="00123ED2" w:rsidRPr="003E44F3" w:rsidRDefault="00123ED2" w:rsidP="003E44F3">
            <w:pPr>
              <w:spacing w:after="0" w:line="240" w:lineRule="auto"/>
              <w:jc w:val="both"/>
              <w:rPr>
                <w:color w:val="000000"/>
                <w:sz w:val="24"/>
                <w:szCs w:val="24"/>
              </w:rPr>
            </w:pPr>
            <w:r w:rsidRPr="003E44F3">
              <w:rPr>
                <w:color w:val="000000"/>
                <w:sz w:val="24"/>
                <w:szCs w:val="24"/>
              </w:rPr>
              <w:t>c) Công khai kết quả thu nộp, danh sách người lao động, tổ chức kinh tế trong nước và nước ngoài đã đóng quỹ trên địa bàn; tổng kinh phí được cấp cho công tác phòng, chống thiên tai và nội dung chi bằng các hình thức: báo cáo giải trình công khai tại cuộc họp tổng kết hàng năm, niêm yết tại trụ sở Ủy ban nhân dân cấp xã, cổng thông tin điện tử của Ủy ban nhân</w:t>
            </w:r>
            <w:bookmarkStart w:id="8" w:name="_GoBack"/>
            <w:bookmarkEnd w:id="8"/>
            <w:r w:rsidRPr="003E44F3">
              <w:rPr>
                <w:color w:val="000000"/>
                <w:sz w:val="24"/>
                <w:szCs w:val="24"/>
              </w:rPr>
              <w:t xml:space="preserve"> dân cấp xã và trên các phương tiện truyền thông tại xã.</w:t>
            </w:r>
          </w:p>
          <w:p w:rsidR="00123ED2" w:rsidRPr="003E44F3" w:rsidRDefault="00123ED2" w:rsidP="003E44F3">
            <w:pPr>
              <w:spacing w:after="0" w:line="240" w:lineRule="auto"/>
              <w:jc w:val="both"/>
              <w:rPr>
                <w:b/>
                <w:bCs/>
                <w:color w:val="000000"/>
                <w:sz w:val="24"/>
                <w:szCs w:val="24"/>
              </w:rPr>
            </w:pPr>
            <w:r w:rsidRPr="003E44F3">
              <w:rPr>
                <w:color w:val="000000"/>
                <w:sz w:val="24"/>
                <w:szCs w:val="24"/>
              </w:rPr>
              <w:t>9. Ủy ban nhân dân cấp xã và cơ quan, đơn vị sử dụng Quỹ báo cáo quyết toán gửi Cơ quan quản lý Quỹ trước ngày 31 tháng 01 hằng năm để thẩm tra gửi Sở Tài chính thẩm định trình Ủy ban nhân dân tỉnh phê duyệt quyết toán trong Quý I hằng năm.</w:t>
            </w:r>
          </w:p>
        </w:tc>
        <w:tc>
          <w:tcPr>
            <w:tcW w:w="1412" w:type="pct"/>
          </w:tcPr>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r w:rsidRPr="003E44F3">
              <w:rPr>
                <w:color w:val="000000"/>
                <w:sz w:val="24"/>
                <w:szCs w:val="24"/>
                <w:lang w:val="de-DE"/>
              </w:rPr>
              <w:t>Bổ sung khoản 1 Điều 8 của dự thảo Quyết định thay thế so với Quyết định số 47/QĐ-UBND</w:t>
            </w:r>
          </w:p>
          <w:p w:rsidR="00123ED2" w:rsidRPr="003E44F3" w:rsidRDefault="00123ED2" w:rsidP="003E44F3">
            <w:pPr>
              <w:spacing w:after="0" w:line="240" w:lineRule="auto"/>
              <w:jc w:val="both"/>
              <w:rPr>
                <w:color w:val="000000"/>
                <w:spacing w:val="-4"/>
                <w:sz w:val="24"/>
                <w:szCs w:val="24"/>
                <w:lang w:val="de-DE"/>
              </w:rPr>
            </w:pPr>
          </w:p>
          <w:p w:rsidR="00123ED2" w:rsidRPr="003E44F3" w:rsidRDefault="00123ED2" w:rsidP="003E44F3">
            <w:pPr>
              <w:spacing w:after="0" w:line="240" w:lineRule="auto"/>
              <w:jc w:val="both"/>
              <w:rPr>
                <w:color w:val="000000"/>
                <w:spacing w:val="-4"/>
                <w:sz w:val="24"/>
                <w:szCs w:val="24"/>
                <w:lang w:val="de-DE"/>
              </w:rPr>
            </w:pPr>
          </w:p>
          <w:p w:rsidR="00123ED2" w:rsidRPr="003E44F3" w:rsidRDefault="00123ED2" w:rsidP="003E44F3">
            <w:pPr>
              <w:spacing w:after="0" w:line="240" w:lineRule="auto"/>
              <w:jc w:val="both"/>
              <w:rPr>
                <w:color w:val="000000"/>
                <w:spacing w:val="-4"/>
                <w:sz w:val="24"/>
                <w:szCs w:val="24"/>
                <w:lang w:val="de-DE"/>
              </w:rPr>
            </w:pPr>
          </w:p>
          <w:p w:rsidR="00123ED2" w:rsidRPr="003E44F3" w:rsidRDefault="00123ED2" w:rsidP="003E44F3">
            <w:pPr>
              <w:spacing w:after="0" w:line="240" w:lineRule="auto"/>
              <w:jc w:val="both"/>
              <w:rPr>
                <w:color w:val="000000"/>
                <w:spacing w:val="-4"/>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r w:rsidRPr="003E44F3">
              <w:rPr>
                <w:color w:val="000000"/>
                <w:sz w:val="24"/>
                <w:szCs w:val="24"/>
                <w:lang w:val="de-DE"/>
              </w:rPr>
              <w:t xml:space="preserve"> </w:t>
            </w: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r w:rsidRPr="003E44F3">
              <w:rPr>
                <w:color w:val="000000"/>
                <w:sz w:val="24"/>
                <w:szCs w:val="24"/>
                <w:lang w:val="de-DE"/>
              </w:rPr>
              <w:t>Giữ nguyên nội dung điểm a b c d khoản 2 Điều 8 của dự thảo Quyết định thay thế so với Quyết định số 47/QĐ-UBND</w:t>
            </w: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r w:rsidRPr="003E44F3">
              <w:rPr>
                <w:color w:val="000000"/>
                <w:sz w:val="24"/>
                <w:szCs w:val="24"/>
                <w:lang w:val="de-DE"/>
              </w:rPr>
              <w:t xml:space="preserve">Bổ sung thêm nội dung tại điểm e khoản 2 Điều 8 của dự thảo Quyết định thay thế so với Quyết định số 47/QĐ-UBND  </w:t>
            </w: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it-IT"/>
              </w:rPr>
            </w:pPr>
            <w:r w:rsidRPr="003E44F3">
              <w:rPr>
                <w:color w:val="000000"/>
                <w:sz w:val="24"/>
                <w:szCs w:val="24"/>
                <w:lang w:val="it-IT"/>
              </w:rPr>
              <w:t xml:space="preserve">Trách nhiệm Sở Tài chính và các sở, ngành, đơn vị, địa phương trên cơ sở quy </w:t>
            </w:r>
            <w:r w:rsidRPr="003E44F3">
              <w:rPr>
                <w:color w:val="000000"/>
                <w:sz w:val="24"/>
                <w:szCs w:val="24"/>
                <w:lang w:val="it-IT"/>
              </w:rPr>
              <w:lastRenderedPageBreak/>
              <w:t>định tại Nghị định số 78/2021/NĐ-CP của Chính phủ quy định về thành lập và quản lý Quỹ Phòng, chống thiên tai (được sửa đổi, bổ sung bởi khoản 17 Điều 17 Nghị định số 53/2026/NĐ-CP ).</w:t>
            </w: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r w:rsidRPr="003E44F3">
              <w:rPr>
                <w:color w:val="000000"/>
                <w:sz w:val="24"/>
                <w:szCs w:val="24"/>
                <w:lang w:val="de-DE"/>
              </w:rPr>
              <w:t>Điều chỉnh tên của các đơn vị tại khoản 4,5,6 của dự thảo quyết định thay thế so với Quyết định số 47/QĐ-UBND</w:t>
            </w: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de-DE"/>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p>
          <w:p w:rsidR="00123ED2" w:rsidRPr="003E44F3" w:rsidRDefault="00123ED2" w:rsidP="003E44F3">
            <w:pPr>
              <w:spacing w:after="0" w:line="240" w:lineRule="auto"/>
              <w:jc w:val="both"/>
              <w:rPr>
                <w:color w:val="000000"/>
                <w:sz w:val="24"/>
                <w:szCs w:val="24"/>
                <w:lang w:val="it-IT"/>
              </w:rPr>
            </w:pPr>
            <w:r w:rsidRPr="003E44F3">
              <w:rPr>
                <w:color w:val="000000"/>
                <w:sz w:val="24"/>
                <w:szCs w:val="24"/>
                <w:lang w:val="it-IT"/>
              </w:rPr>
              <w:t>Tại khoản 8 của dự thảo Quyết định thay thế lược bỏ phân công trách nhiệm cấp huyện do không còn tổ chức cấp huyện sau tổ chức lại bộ máy chính quyền địa phương 02 cấp so với Quyết định số 47/QĐ-UBND</w:t>
            </w:r>
          </w:p>
          <w:p w:rsidR="00123ED2" w:rsidRPr="003E44F3" w:rsidRDefault="00123ED2" w:rsidP="003E44F3">
            <w:pPr>
              <w:spacing w:after="0" w:line="240" w:lineRule="auto"/>
              <w:jc w:val="both"/>
              <w:rPr>
                <w:color w:val="000000"/>
                <w:sz w:val="24"/>
                <w:szCs w:val="24"/>
                <w:lang w:val="de-DE"/>
              </w:rPr>
            </w:pPr>
          </w:p>
        </w:tc>
      </w:tr>
      <w:tr w:rsidR="00123ED2" w:rsidRPr="009C4667" w:rsidTr="003E44F3">
        <w:trPr>
          <w:gridBefore w:val="1"/>
        </w:trPr>
        <w:tc>
          <w:tcPr>
            <w:tcW w:w="1766" w:type="pct"/>
          </w:tcPr>
          <w:p w:rsidR="00123ED2" w:rsidRPr="009C4667" w:rsidRDefault="00123ED2" w:rsidP="003E44F3">
            <w:pPr>
              <w:spacing w:after="0" w:line="240" w:lineRule="auto"/>
              <w:jc w:val="both"/>
              <w:rPr>
                <w:b/>
                <w:color w:val="000000"/>
                <w:sz w:val="24"/>
                <w:szCs w:val="24"/>
                <w:lang w:val="it-IT"/>
              </w:rPr>
            </w:pPr>
            <w:r w:rsidRPr="009C4667">
              <w:rPr>
                <w:b/>
                <w:color w:val="000000"/>
                <w:sz w:val="24"/>
                <w:szCs w:val="24"/>
                <w:lang w:val="it-IT"/>
              </w:rPr>
              <w:lastRenderedPageBreak/>
              <w:t>Điều 4. Điều khoản thi hành</w:t>
            </w:r>
          </w:p>
          <w:p w:rsidR="00123ED2" w:rsidRPr="003E44F3" w:rsidRDefault="00123ED2" w:rsidP="003E44F3">
            <w:pPr>
              <w:spacing w:after="0" w:line="240" w:lineRule="auto"/>
              <w:jc w:val="both"/>
              <w:rPr>
                <w:color w:val="000000"/>
                <w:sz w:val="24"/>
                <w:szCs w:val="24"/>
                <w:lang w:val="de-DE"/>
              </w:rPr>
            </w:pPr>
            <w:r w:rsidRPr="009C4667">
              <w:rPr>
                <w:color w:val="000000"/>
                <w:sz w:val="24"/>
                <w:szCs w:val="24"/>
                <w:lang w:val="it-IT"/>
              </w:rPr>
              <w:t xml:space="preserve">Trong quá trình thực hiện, nếu phát sinh vướng mắc, </w:t>
            </w:r>
            <w:r w:rsidRPr="009C4667">
              <w:rPr>
                <w:color w:val="000000"/>
                <w:sz w:val="24"/>
                <w:szCs w:val="24"/>
                <w:lang w:val="it-IT"/>
              </w:rPr>
              <w:lastRenderedPageBreak/>
              <w:t>bất cập, các sở, ban, ngành, địa phương; các cơ quan, đơn vị, tổ chức, cá nhân phản ánh kịp thời bằng văn bản gửi về Sở Nông nghiệp và Môi trường để tổng hợp, trình Ủy ban nhân dân tỉnh xem xét, sửa đổi, bổ sung cho phù hợp tình hình thực tế</w:t>
            </w:r>
          </w:p>
        </w:tc>
        <w:tc>
          <w:tcPr>
            <w:tcW w:w="1822" w:type="pct"/>
            <w:vAlign w:val="center"/>
          </w:tcPr>
          <w:p w:rsidR="00123ED2" w:rsidRPr="009C4667" w:rsidRDefault="00123ED2" w:rsidP="003E44F3">
            <w:pPr>
              <w:spacing w:after="0" w:line="240" w:lineRule="auto"/>
              <w:jc w:val="both"/>
              <w:rPr>
                <w:b/>
                <w:bCs/>
                <w:color w:val="000000"/>
                <w:sz w:val="24"/>
                <w:szCs w:val="24"/>
                <w:lang w:val="de-DE"/>
              </w:rPr>
            </w:pPr>
            <w:r w:rsidRPr="009C4667">
              <w:rPr>
                <w:b/>
                <w:bCs/>
                <w:color w:val="000000"/>
                <w:sz w:val="24"/>
                <w:szCs w:val="24"/>
                <w:lang w:val="de-DE"/>
              </w:rPr>
              <w:lastRenderedPageBreak/>
              <w:t>Điều 9. Điều khoản thi hành</w:t>
            </w:r>
          </w:p>
          <w:p w:rsidR="00123ED2" w:rsidRPr="003E44F3" w:rsidRDefault="00123ED2" w:rsidP="003E44F3">
            <w:pPr>
              <w:spacing w:after="0" w:line="240" w:lineRule="auto"/>
              <w:jc w:val="both"/>
              <w:rPr>
                <w:color w:val="000000"/>
                <w:sz w:val="24"/>
                <w:szCs w:val="24"/>
                <w:lang w:val="vi-VN"/>
              </w:rPr>
            </w:pPr>
            <w:r w:rsidRPr="003E44F3">
              <w:rPr>
                <w:color w:val="000000"/>
                <w:sz w:val="24"/>
                <w:szCs w:val="24"/>
                <w:lang w:val="vi-VN"/>
              </w:rPr>
              <w:t xml:space="preserve">1. Thủ trưởng các sở, ban, ngành, đơn vị </w:t>
            </w:r>
            <w:r w:rsidRPr="009C4667">
              <w:rPr>
                <w:color w:val="000000"/>
                <w:sz w:val="24"/>
                <w:szCs w:val="24"/>
                <w:lang w:val="de-DE"/>
              </w:rPr>
              <w:t>tỉnh</w:t>
            </w:r>
            <w:r w:rsidRPr="003E44F3">
              <w:rPr>
                <w:color w:val="000000"/>
                <w:sz w:val="24"/>
                <w:szCs w:val="24"/>
                <w:lang w:val="vi-VN"/>
              </w:rPr>
              <w:t xml:space="preserve">, Chủ tịch </w:t>
            </w:r>
            <w:r w:rsidRPr="003E44F3">
              <w:rPr>
                <w:color w:val="000000"/>
                <w:sz w:val="24"/>
                <w:szCs w:val="24"/>
                <w:lang w:val="vi-VN"/>
              </w:rPr>
              <w:lastRenderedPageBreak/>
              <w:t>Ủy ban nhân dân phường, xã, đặc khu và người đứng đầu các cơ quan, tổ chức liên quan căn cứ trách nhiệm được phân công phối hợp triển khai Quyết định này.</w:t>
            </w:r>
          </w:p>
          <w:p w:rsidR="00123ED2" w:rsidRPr="003E44F3" w:rsidRDefault="00123ED2" w:rsidP="003E44F3">
            <w:pPr>
              <w:spacing w:after="0" w:line="240" w:lineRule="auto"/>
              <w:jc w:val="both"/>
              <w:rPr>
                <w:color w:val="000000"/>
                <w:sz w:val="24"/>
                <w:szCs w:val="24"/>
                <w:lang w:val="vi-VN"/>
              </w:rPr>
            </w:pPr>
            <w:r w:rsidRPr="003E44F3">
              <w:rPr>
                <w:color w:val="000000"/>
                <w:sz w:val="24"/>
                <w:szCs w:val="24"/>
                <w:lang w:val="vi-VN"/>
              </w:rPr>
              <w:t>2. Khi có sửa đổi, bổ sung hoặc thay thế văn bản quy phạm pháp luật làm căn cứ pháp lý ban hành, Quy định này sẽ được điều chỉnh cho phù hợp và áp dụng theo quy định pháp luật hiện hành.</w:t>
            </w:r>
          </w:p>
          <w:p w:rsidR="00123ED2" w:rsidRPr="003E44F3" w:rsidRDefault="00123ED2" w:rsidP="003E44F3">
            <w:pPr>
              <w:spacing w:after="0" w:line="240" w:lineRule="auto"/>
              <w:jc w:val="both"/>
              <w:rPr>
                <w:color w:val="000000"/>
                <w:sz w:val="24"/>
                <w:szCs w:val="24"/>
                <w:lang w:val="de-DE"/>
              </w:rPr>
            </w:pPr>
            <w:r w:rsidRPr="009C4667">
              <w:rPr>
                <w:color w:val="000000"/>
                <w:sz w:val="24"/>
                <w:szCs w:val="24"/>
                <w:lang w:val="vi-VN"/>
              </w:rPr>
              <w:t>3. Trong quá trình thực hiện, nếu phát sinh vướng mắc, bất cập, các sở, ban, ngành, địa phương; các cơ quan, đơn vị, tổ chức, cá nhân phản ánh kịp thời bằng văn bản gửi về Sở Nông nghiệp và Môi trường để tổng hợp, trình Ủy ban nhân dân tỉnh xem xét, sửa đổi, bổ sung cho phù hợp tình hình thực tế./.</w:t>
            </w:r>
          </w:p>
        </w:tc>
        <w:tc>
          <w:tcPr>
            <w:tcW w:w="1412" w:type="pct"/>
          </w:tcPr>
          <w:p w:rsidR="00123ED2" w:rsidRPr="003E44F3" w:rsidRDefault="00123ED2" w:rsidP="003E44F3">
            <w:pPr>
              <w:spacing w:after="0" w:line="240" w:lineRule="auto"/>
              <w:jc w:val="both"/>
              <w:rPr>
                <w:color w:val="000000"/>
                <w:spacing w:val="-4"/>
                <w:sz w:val="24"/>
                <w:szCs w:val="24"/>
                <w:lang w:val="de-DE"/>
              </w:rPr>
            </w:pPr>
          </w:p>
          <w:p w:rsidR="00123ED2" w:rsidRPr="003E44F3" w:rsidRDefault="00123ED2" w:rsidP="003E44F3">
            <w:pPr>
              <w:spacing w:after="0" w:line="240" w:lineRule="auto"/>
              <w:jc w:val="both"/>
              <w:rPr>
                <w:color w:val="000000"/>
                <w:spacing w:val="-4"/>
                <w:sz w:val="24"/>
                <w:szCs w:val="24"/>
                <w:lang w:val="de-DE"/>
              </w:rPr>
            </w:pPr>
            <w:r w:rsidRPr="003E44F3">
              <w:rPr>
                <w:color w:val="000000"/>
                <w:spacing w:val="-4"/>
                <w:sz w:val="24"/>
                <w:szCs w:val="24"/>
                <w:lang w:val="vi-VN"/>
              </w:rPr>
              <w:t xml:space="preserve">Sở Nông nghiệp và Môi trường có điều </w:t>
            </w:r>
            <w:r w:rsidRPr="003E44F3">
              <w:rPr>
                <w:color w:val="000000"/>
                <w:spacing w:val="-4"/>
                <w:sz w:val="24"/>
                <w:szCs w:val="24"/>
                <w:lang w:val="vi-VN"/>
              </w:rPr>
              <w:lastRenderedPageBreak/>
              <w:t>chỉnh nội dung cho phù hợp với tình hình thực tế và phân công trách nhiệm cho cơ quan, tổ chức, cá nhân thi hành Quyết định theo đúng quy định hiện hành.</w:t>
            </w:r>
          </w:p>
          <w:p w:rsidR="00123ED2" w:rsidRPr="003E44F3" w:rsidRDefault="00123ED2" w:rsidP="003E44F3">
            <w:pPr>
              <w:spacing w:after="0" w:line="240" w:lineRule="auto"/>
              <w:jc w:val="both"/>
              <w:rPr>
                <w:color w:val="000000"/>
                <w:sz w:val="24"/>
                <w:szCs w:val="24"/>
                <w:lang w:val="de-DE"/>
              </w:rPr>
            </w:pPr>
          </w:p>
        </w:tc>
      </w:tr>
    </w:tbl>
    <w:p w:rsidR="00123ED2" w:rsidRPr="009C4667" w:rsidRDefault="00123ED2" w:rsidP="004C43FF">
      <w:pPr>
        <w:pStyle w:val="Heading1"/>
        <w:jc w:val="both"/>
        <w:rPr>
          <w:rFonts w:ascii="Times New Roman" w:hAnsi="Times New Roman"/>
          <w:color w:val="000000"/>
          <w:sz w:val="2"/>
          <w:szCs w:val="2"/>
          <w:lang w:val="de-DE"/>
        </w:rPr>
      </w:pPr>
    </w:p>
    <w:sectPr w:rsidR="00123ED2" w:rsidRPr="009C4667" w:rsidSect="00966411">
      <w:headerReference w:type="default" r:id="rId8"/>
      <w:pgSz w:w="16838" w:h="11906" w:orient="landscape" w:code="9"/>
      <w:pgMar w:top="709" w:right="567" w:bottom="567" w:left="567" w:header="283"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DB7" w:rsidRDefault="00802DB7" w:rsidP="0001781D">
      <w:pPr>
        <w:spacing w:after="0" w:line="240" w:lineRule="auto"/>
      </w:pPr>
      <w:r>
        <w:separator/>
      </w:r>
    </w:p>
  </w:endnote>
  <w:endnote w:type="continuationSeparator" w:id="0">
    <w:p w:rsidR="00802DB7" w:rsidRDefault="00802DB7" w:rsidP="0001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
    <w:altName w:val="Arial Unicode MS"/>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 Light">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DB7" w:rsidRDefault="00802DB7" w:rsidP="0001781D">
      <w:pPr>
        <w:spacing w:after="0" w:line="240" w:lineRule="auto"/>
      </w:pPr>
      <w:r>
        <w:separator/>
      </w:r>
    </w:p>
  </w:footnote>
  <w:footnote w:type="continuationSeparator" w:id="0">
    <w:p w:rsidR="00802DB7" w:rsidRDefault="00802DB7" w:rsidP="00017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ED2" w:rsidRPr="0001781D" w:rsidRDefault="00123ED2">
    <w:pPr>
      <w:pStyle w:val="Header"/>
      <w:jc w:val="center"/>
      <w:rPr>
        <w:sz w:val="24"/>
        <w:szCs w:val="21"/>
      </w:rPr>
    </w:pPr>
    <w:r w:rsidRPr="0001781D">
      <w:rPr>
        <w:sz w:val="24"/>
        <w:szCs w:val="21"/>
      </w:rPr>
      <w:fldChar w:fldCharType="begin"/>
    </w:r>
    <w:r w:rsidRPr="0001781D">
      <w:rPr>
        <w:sz w:val="24"/>
        <w:szCs w:val="21"/>
      </w:rPr>
      <w:instrText xml:space="preserve"> PAGE   \* MERGEFORMAT </w:instrText>
    </w:r>
    <w:r w:rsidRPr="0001781D">
      <w:rPr>
        <w:sz w:val="24"/>
        <w:szCs w:val="21"/>
      </w:rPr>
      <w:fldChar w:fldCharType="separate"/>
    </w:r>
    <w:r w:rsidR="00E53DCA">
      <w:rPr>
        <w:noProof/>
        <w:sz w:val="24"/>
        <w:szCs w:val="21"/>
      </w:rPr>
      <w:t>15</w:t>
    </w:r>
    <w:r w:rsidRPr="0001781D">
      <w:rPr>
        <w:sz w:val="24"/>
        <w:szCs w:val="21"/>
      </w:rPr>
      <w:fldChar w:fldCharType="end"/>
    </w:r>
  </w:p>
  <w:p w:rsidR="00123ED2" w:rsidRDefault="00123E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24EFF"/>
    <w:multiLevelType w:val="hybridMultilevel"/>
    <w:tmpl w:val="C310E406"/>
    <w:lvl w:ilvl="0" w:tplc="346A2C5A">
      <w:start w:val="1"/>
      <w:numFmt w:val="bullet"/>
      <w:lvlText w:val="-"/>
      <w:lvlJc w:val="left"/>
      <w:pPr>
        <w:ind w:left="720" w:hanging="360"/>
      </w:pPr>
      <w:rPr>
        <w:rFonts w:ascii="Times New Roman" w:eastAsia="游????"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410"/>
    <w:rsid w:val="00001D60"/>
    <w:rsid w:val="00005060"/>
    <w:rsid w:val="0000581B"/>
    <w:rsid w:val="000069FC"/>
    <w:rsid w:val="00007041"/>
    <w:rsid w:val="000073B3"/>
    <w:rsid w:val="00014CEE"/>
    <w:rsid w:val="0001781D"/>
    <w:rsid w:val="00020EE8"/>
    <w:rsid w:val="00023826"/>
    <w:rsid w:val="00031CE3"/>
    <w:rsid w:val="00032699"/>
    <w:rsid w:val="00032A44"/>
    <w:rsid w:val="000450AB"/>
    <w:rsid w:val="00050DAC"/>
    <w:rsid w:val="00053385"/>
    <w:rsid w:val="000611DD"/>
    <w:rsid w:val="00073341"/>
    <w:rsid w:val="0007403A"/>
    <w:rsid w:val="00075CE6"/>
    <w:rsid w:val="000772AA"/>
    <w:rsid w:val="00082BD2"/>
    <w:rsid w:val="00083254"/>
    <w:rsid w:val="00083FBC"/>
    <w:rsid w:val="00084049"/>
    <w:rsid w:val="00093BB0"/>
    <w:rsid w:val="000967B6"/>
    <w:rsid w:val="000A1577"/>
    <w:rsid w:val="000A199F"/>
    <w:rsid w:val="000A29DF"/>
    <w:rsid w:val="000A4E66"/>
    <w:rsid w:val="000A59FE"/>
    <w:rsid w:val="000A6EFA"/>
    <w:rsid w:val="000A7F09"/>
    <w:rsid w:val="000B254B"/>
    <w:rsid w:val="000B321A"/>
    <w:rsid w:val="000B463A"/>
    <w:rsid w:val="000B4F2D"/>
    <w:rsid w:val="000B5125"/>
    <w:rsid w:val="000C109F"/>
    <w:rsid w:val="000C1B53"/>
    <w:rsid w:val="000C609C"/>
    <w:rsid w:val="000D68C7"/>
    <w:rsid w:val="000E0387"/>
    <w:rsid w:val="000E233E"/>
    <w:rsid w:val="000E237C"/>
    <w:rsid w:val="000F12AB"/>
    <w:rsid w:val="0010786A"/>
    <w:rsid w:val="0011040D"/>
    <w:rsid w:val="001132E9"/>
    <w:rsid w:val="00114825"/>
    <w:rsid w:val="00123ED2"/>
    <w:rsid w:val="00134DA6"/>
    <w:rsid w:val="001411DD"/>
    <w:rsid w:val="00141AF0"/>
    <w:rsid w:val="001432AB"/>
    <w:rsid w:val="00143DFB"/>
    <w:rsid w:val="00144BDC"/>
    <w:rsid w:val="00145B95"/>
    <w:rsid w:val="00150FE4"/>
    <w:rsid w:val="0015100F"/>
    <w:rsid w:val="0015108B"/>
    <w:rsid w:val="00152C8A"/>
    <w:rsid w:val="00156260"/>
    <w:rsid w:val="0016388A"/>
    <w:rsid w:val="00163A66"/>
    <w:rsid w:val="001659C6"/>
    <w:rsid w:val="001676A3"/>
    <w:rsid w:val="00171A00"/>
    <w:rsid w:val="00174467"/>
    <w:rsid w:val="001771BC"/>
    <w:rsid w:val="00183E2E"/>
    <w:rsid w:val="00184232"/>
    <w:rsid w:val="00186EA8"/>
    <w:rsid w:val="001919B3"/>
    <w:rsid w:val="00193E2E"/>
    <w:rsid w:val="001956D2"/>
    <w:rsid w:val="00197DE5"/>
    <w:rsid w:val="001A6F95"/>
    <w:rsid w:val="001B26A6"/>
    <w:rsid w:val="001B2CA6"/>
    <w:rsid w:val="001B652B"/>
    <w:rsid w:val="001B6A28"/>
    <w:rsid w:val="001C39B5"/>
    <w:rsid w:val="001C4073"/>
    <w:rsid w:val="001C513E"/>
    <w:rsid w:val="001D3B28"/>
    <w:rsid w:val="001D56D3"/>
    <w:rsid w:val="001D5A21"/>
    <w:rsid w:val="001D5F9B"/>
    <w:rsid w:val="001E24D9"/>
    <w:rsid w:val="001E5020"/>
    <w:rsid w:val="001E6224"/>
    <w:rsid w:val="001F0500"/>
    <w:rsid w:val="001F196D"/>
    <w:rsid w:val="001F392D"/>
    <w:rsid w:val="001F3D3E"/>
    <w:rsid w:val="0020265C"/>
    <w:rsid w:val="00203519"/>
    <w:rsid w:val="00205763"/>
    <w:rsid w:val="0020656A"/>
    <w:rsid w:val="00215C2A"/>
    <w:rsid w:val="002215C2"/>
    <w:rsid w:val="00224351"/>
    <w:rsid w:val="00224D14"/>
    <w:rsid w:val="00224E30"/>
    <w:rsid w:val="0023007E"/>
    <w:rsid w:val="00231337"/>
    <w:rsid w:val="00235828"/>
    <w:rsid w:val="002454AF"/>
    <w:rsid w:val="00251635"/>
    <w:rsid w:val="002537D7"/>
    <w:rsid w:val="00262E21"/>
    <w:rsid w:val="00265820"/>
    <w:rsid w:val="002705BC"/>
    <w:rsid w:val="0027149A"/>
    <w:rsid w:val="0027369C"/>
    <w:rsid w:val="00273B97"/>
    <w:rsid w:val="00274B8B"/>
    <w:rsid w:val="002763A1"/>
    <w:rsid w:val="00280DAB"/>
    <w:rsid w:val="00280E4C"/>
    <w:rsid w:val="00281079"/>
    <w:rsid w:val="00285BB0"/>
    <w:rsid w:val="00287EF8"/>
    <w:rsid w:val="002913A9"/>
    <w:rsid w:val="002939B7"/>
    <w:rsid w:val="00294A0C"/>
    <w:rsid w:val="0029602F"/>
    <w:rsid w:val="00296462"/>
    <w:rsid w:val="0029682F"/>
    <w:rsid w:val="002A207B"/>
    <w:rsid w:val="002A2E13"/>
    <w:rsid w:val="002A3526"/>
    <w:rsid w:val="002A4E70"/>
    <w:rsid w:val="002A5033"/>
    <w:rsid w:val="002A5A8A"/>
    <w:rsid w:val="002A74FD"/>
    <w:rsid w:val="002B03AF"/>
    <w:rsid w:val="002B7F1B"/>
    <w:rsid w:val="002B7FDA"/>
    <w:rsid w:val="002C13C6"/>
    <w:rsid w:val="002C173A"/>
    <w:rsid w:val="002C3BC3"/>
    <w:rsid w:val="002C6C4D"/>
    <w:rsid w:val="002D2DC4"/>
    <w:rsid w:val="002D32F9"/>
    <w:rsid w:val="002D4FA1"/>
    <w:rsid w:val="002E0198"/>
    <w:rsid w:val="002E1BE3"/>
    <w:rsid w:val="002E5E27"/>
    <w:rsid w:val="002E7E69"/>
    <w:rsid w:val="002F0E90"/>
    <w:rsid w:val="002F2FD4"/>
    <w:rsid w:val="002F3841"/>
    <w:rsid w:val="002F4576"/>
    <w:rsid w:val="002F620D"/>
    <w:rsid w:val="002F6D36"/>
    <w:rsid w:val="002F7C8E"/>
    <w:rsid w:val="0030364F"/>
    <w:rsid w:val="003154FC"/>
    <w:rsid w:val="003248DA"/>
    <w:rsid w:val="003307D6"/>
    <w:rsid w:val="00332EB2"/>
    <w:rsid w:val="00333315"/>
    <w:rsid w:val="003346F4"/>
    <w:rsid w:val="00336385"/>
    <w:rsid w:val="00340131"/>
    <w:rsid w:val="00343A1C"/>
    <w:rsid w:val="003461E7"/>
    <w:rsid w:val="0034764B"/>
    <w:rsid w:val="00352284"/>
    <w:rsid w:val="00352EB9"/>
    <w:rsid w:val="00354B73"/>
    <w:rsid w:val="003561AB"/>
    <w:rsid w:val="003606E9"/>
    <w:rsid w:val="003620DC"/>
    <w:rsid w:val="00362319"/>
    <w:rsid w:val="00363A6E"/>
    <w:rsid w:val="00365DC8"/>
    <w:rsid w:val="003749F5"/>
    <w:rsid w:val="0038764F"/>
    <w:rsid w:val="00387C63"/>
    <w:rsid w:val="00387CF3"/>
    <w:rsid w:val="00390805"/>
    <w:rsid w:val="0039088B"/>
    <w:rsid w:val="003914BB"/>
    <w:rsid w:val="00396476"/>
    <w:rsid w:val="003A26FC"/>
    <w:rsid w:val="003A34A7"/>
    <w:rsid w:val="003A3F0B"/>
    <w:rsid w:val="003B4D00"/>
    <w:rsid w:val="003B50E9"/>
    <w:rsid w:val="003C1B47"/>
    <w:rsid w:val="003C6706"/>
    <w:rsid w:val="003C7B38"/>
    <w:rsid w:val="003D3815"/>
    <w:rsid w:val="003D38D8"/>
    <w:rsid w:val="003E15B7"/>
    <w:rsid w:val="003E44F3"/>
    <w:rsid w:val="00401BCC"/>
    <w:rsid w:val="00406B9D"/>
    <w:rsid w:val="00407E5A"/>
    <w:rsid w:val="0041128C"/>
    <w:rsid w:val="00415A2B"/>
    <w:rsid w:val="004212A1"/>
    <w:rsid w:val="00423B50"/>
    <w:rsid w:val="00426282"/>
    <w:rsid w:val="00427A22"/>
    <w:rsid w:val="00432903"/>
    <w:rsid w:val="00432989"/>
    <w:rsid w:val="00435CFC"/>
    <w:rsid w:val="004373BA"/>
    <w:rsid w:val="004400A4"/>
    <w:rsid w:val="0044442F"/>
    <w:rsid w:val="00447E08"/>
    <w:rsid w:val="004502B6"/>
    <w:rsid w:val="00450AA9"/>
    <w:rsid w:val="00451FC8"/>
    <w:rsid w:val="004641FC"/>
    <w:rsid w:val="00465A64"/>
    <w:rsid w:val="00474345"/>
    <w:rsid w:val="00475BAB"/>
    <w:rsid w:val="00477B34"/>
    <w:rsid w:val="00482F1F"/>
    <w:rsid w:val="00483D9B"/>
    <w:rsid w:val="00486391"/>
    <w:rsid w:val="00486B7D"/>
    <w:rsid w:val="004872F8"/>
    <w:rsid w:val="00490DFC"/>
    <w:rsid w:val="00491FAE"/>
    <w:rsid w:val="004922DC"/>
    <w:rsid w:val="00492AA7"/>
    <w:rsid w:val="0049303E"/>
    <w:rsid w:val="004A357A"/>
    <w:rsid w:val="004A6DC4"/>
    <w:rsid w:val="004A7EF7"/>
    <w:rsid w:val="004B0505"/>
    <w:rsid w:val="004B190E"/>
    <w:rsid w:val="004B59AF"/>
    <w:rsid w:val="004B5E1E"/>
    <w:rsid w:val="004B6009"/>
    <w:rsid w:val="004C0E19"/>
    <w:rsid w:val="004C43FF"/>
    <w:rsid w:val="004C5131"/>
    <w:rsid w:val="004D07A3"/>
    <w:rsid w:val="004D1596"/>
    <w:rsid w:val="004D648B"/>
    <w:rsid w:val="004D695E"/>
    <w:rsid w:val="004D6A5B"/>
    <w:rsid w:val="004E21C2"/>
    <w:rsid w:val="004E2C91"/>
    <w:rsid w:val="004E5812"/>
    <w:rsid w:val="004F04F4"/>
    <w:rsid w:val="004F565A"/>
    <w:rsid w:val="004F7095"/>
    <w:rsid w:val="004F7F42"/>
    <w:rsid w:val="00503DE9"/>
    <w:rsid w:val="0050480E"/>
    <w:rsid w:val="00506465"/>
    <w:rsid w:val="0050717A"/>
    <w:rsid w:val="0051054B"/>
    <w:rsid w:val="00511A9E"/>
    <w:rsid w:val="005269BA"/>
    <w:rsid w:val="00531C7D"/>
    <w:rsid w:val="0053269D"/>
    <w:rsid w:val="0053422B"/>
    <w:rsid w:val="00535882"/>
    <w:rsid w:val="005438D4"/>
    <w:rsid w:val="00544AB1"/>
    <w:rsid w:val="00551065"/>
    <w:rsid w:val="00551CBB"/>
    <w:rsid w:val="00562DFE"/>
    <w:rsid w:val="00564D32"/>
    <w:rsid w:val="00567EC4"/>
    <w:rsid w:val="0057078A"/>
    <w:rsid w:val="005711FF"/>
    <w:rsid w:val="00572823"/>
    <w:rsid w:val="00576DCD"/>
    <w:rsid w:val="00586EF6"/>
    <w:rsid w:val="00587556"/>
    <w:rsid w:val="005928C1"/>
    <w:rsid w:val="00594FF1"/>
    <w:rsid w:val="005970A6"/>
    <w:rsid w:val="005A31D1"/>
    <w:rsid w:val="005A44B7"/>
    <w:rsid w:val="005A46BC"/>
    <w:rsid w:val="005A637B"/>
    <w:rsid w:val="005A7168"/>
    <w:rsid w:val="005A79B2"/>
    <w:rsid w:val="005B135D"/>
    <w:rsid w:val="005B25DB"/>
    <w:rsid w:val="005C7D1E"/>
    <w:rsid w:val="005D049A"/>
    <w:rsid w:val="005E28D6"/>
    <w:rsid w:val="005E34EA"/>
    <w:rsid w:val="005E4F4B"/>
    <w:rsid w:val="005F0275"/>
    <w:rsid w:val="005F23A7"/>
    <w:rsid w:val="005F2570"/>
    <w:rsid w:val="005F36EB"/>
    <w:rsid w:val="005F4216"/>
    <w:rsid w:val="005F693E"/>
    <w:rsid w:val="006111BE"/>
    <w:rsid w:val="0062132F"/>
    <w:rsid w:val="00623321"/>
    <w:rsid w:val="006257AC"/>
    <w:rsid w:val="00626CD6"/>
    <w:rsid w:val="006271EB"/>
    <w:rsid w:val="00630065"/>
    <w:rsid w:val="0063420C"/>
    <w:rsid w:val="00637435"/>
    <w:rsid w:val="00637FE2"/>
    <w:rsid w:val="00646AE3"/>
    <w:rsid w:val="006541BC"/>
    <w:rsid w:val="00655D91"/>
    <w:rsid w:val="00660477"/>
    <w:rsid w:val="006640A6"/>
    <w:rsid w:val="006707C6"/>
    <w:rsid w:val="00670BD8"/>
    <w:rsid w:val="00674A81"/>
    <w:rsid w:val="0067562D"/>
    <w:rsid w:val="0068633D"/>
    <w:rsid w:val="00686F11"/>
    <w:rsid w:val="006916E4"/>
    <w:rsid w:val="00693A45"/>
    <w:rsid w:val="006967FB"/>
    <w:rsid w:val="006A0D24"/>
    <w:rsid w:val="006A148B"/>
    <w:rsid w:val="006A5CFA"/>
    <w:rsid w:val="006B4C94"/>
    <w:rsid w:val="006C1905"/>
    <w:rsid w:val="006C1EAD"/>
    <w:rsid w:val="006D3411"/>
    <w:rsid w:val="006D6845"/>
    <w:rsid w:val="006E0422"/>
    <w:rsid w:val="006E73B0"/>
    <w:rsid w:val="006E744F"/>
    <w:rsid w:val="006F275B"/>
    <w:rsid w:val="006F3909"/>
    <w:rsid w:val="0070018D"/>
    <w:rsid w:val="00701CC0"/>
    <w:rsid w:val="00703C3D"/>
    <w:rsid w:val="007043A7"/>
    <w:rsid w:val="007058BB"/>
    <w:rsid w:val="00713D99"/>
    <w:rsid w:val="00715EA1"/>
    <w:rsid w:val="00717C47"/>
    <w:rsid w:val="007248E4"/>
    <w:rsid w:val="007250A7"/>
    <w:rsid w:val="00725355"/>
    <w:rsid w:val="00726996"/>
    <w:rsid w:val="00727312"/>
    <w:rsid w:val="00732FA2"/>
    <w:rsid w:val="0073302E"/>
    <w:rsid w:val="0073699A"/>
    <w:rsid w:val="00740284"/>
    <w:rsid w:val="00743B01"/>
    <w:rsid w:val="007460C4"/>
    <w:rsid w:val="00746E06"/>
    <w:rsid w:val="007502BB"/>
    <w:rsid w:val="00751C40"/>
    <w:rsid w:val="007521E2"/>
    <w:rsid w:val="007521E7"/>
    <w:rsid w:val="007522DA"/>
    <w:rsid w:val="007534A7"/>
    <w:rsid w:val="00760758"/>
    <w:rsid w:val="00762985"/>
    <w:rsid w:val="007652E9"/>
    <w:rsid w:val="00770EE6"/>
    <w:rsid w:val="0077201E"/>
    <w:rsid w:val="007728F8"/>
    <w:rsid w:val="00773301"/>
    <w:rsid w:val="007738BC"/>
    <w:rsid w:val="007805C4"/>
    <w:rsid w:val="007905D4"/>
    <w:rsid w:val="007920E4"/>
    <w:rsid w:val="00797855"/>
    <w:rsid w:val="007B1451"/>
    <w:rsid w:val="007B1A6F"/>
    <w:rsid w:val="007C5165"/>
    <w:rsid w:val="007C7C24"/>
    <w:rsid w:val="007D0C28"/>
    <w:rsid w:val="007D1F03"/>
    <w:rsid w:val="007D2CB4"/>
    <w:rsid w:val="007D6F8B"/>
    <w:rsid w:val="007E672B"/>
    <w:rsid w:val="007E6F92"/>
    <w:rsid w:val="007F1676"/>
    <w:rsid w:val="007F69D9"/>
    <w:rsid w:val="007F759F"/>
    <w:rsid w:val="008000D1"/>
    <w:rsid w:val="008013B5"/>
    <w:rsid w:val="00802DB7"/>
    <w:rsid w:val="00806B1C"/>
    <w:rsid w:val="00806D53"/>
    <w:rsid w:val="00807EBB"/>
    <w:rsid w:val="00811C5B"/>
    <w:rsid w:val="00822628"/>
    <w:rsid w:val="00825999"/>
    <w:rsid w:val="008268AB"/>
    <w:rsid w:val="0083139F"/>
    <w:rsid w:val="008330A9"/>
    <w:rsid w:val="00841299"/>
    <w:rsid w:val="008416DD"/>
    <w:rsid w:val="00842006"/>
    <w:rsid w:val="00842699"/>
    <w:rsid w:val="00842EC0"/>
    <w:rsid w:val="008434AE"/>
    <w:rsid w:val="00844D3A"/>
    <w:rsid w:val="0085745C"/>
    <w:rsid w:val="00861BC3"/>
    <w:rsid w:val="00861C34"/>
    <w:rsid w:val="0086340B"/>
    <w:rsid w:val="008716C6"/>
    <w:rsid w:val="008727F4"/>
    <w:rsid w:val="00875F8C"/>
    <w:rsid w:val="00876777"/>
    <w:rsid w:val="00876A06"/>
    <w:rsid w:val="008778C4"/>
    <w:rsid w:val="00880306"/>
    <w:rsid w:val="0088146B"/>
    <w:rsid w:val="00883A28"/>
    <w:rsid w:val="00885916"/>
    <w:rsid w:val="00885AC2"/>
    <w:rsid w:val="00890BC7"/>
    <w:rsid w:val="00891155"/>
    <w:rsid w:val="00892722"/>
    <w:rsid w:val="008954DF"/>
    <w:rsid w:val="008A5C59"/>
    <w:rsid w:val="008A60E1"/>
    <w:rsid w:val="008A7F86"/>
    <w:rsid w:val="008B0979"/>
    <w:rsid w:val="008B0B5B"/>
    <w:rsid w:val="008B3F41"/>
    <w:rsid w:val="008B4C58"/>
    <w:rsid w:val="008C262C"/>
    <w:rsid w:val="008D48AA"/>
    <w:rsid w:val="008D63D0"/>
    <w:rsid w:val="008D77FD"/>
    <w:rsid w:val="008E095C"/>
    <w:rsid w:val="008E153A"/>
    <w:rsid w:val="008E2FFB"/>
    <w:rsid w:val="008E6E3C"/>
    <w:rsid w:val="008E77B9"/>
    <w:rsid w:val="008F4EA4"/>
    <w:rsid w:val="00900804"/>
    <w:rsid w:val="00901004"/>
    <w:rsid w:val="0090652B"/>
    <w:rsid w:val="00907D03"/>
    <w:rsid w:val="00907F54"/>
    <w:rsid w:val="009258AE"/>
    <w:rsid w:val="00931C1C"/>
    <w:rsid w:val="00942C1B"/>
    <w:rsid w:val="00944108"/>
    <w:rsid w:val="009500E9"/>
    <w:rsid w:val="00955AF0"/>
    <w:rsid w:val="009577E8"/>
    <w:rsid w:val="00957DF8"/>
    <w:rsid w:val="009644D4"/>
    <w:rsid w:val="00966411"/>
    <w:rsid w:val="0097118A"/>
    <w:rsid w:val="00974661"/>
    <w:rsid w:val="00974DE8"/>
    <w:rsid w:val="009757E3"/>
    <w:rsid w:val="009878B8"/>
    <w:rsid w:val="00987D74"/>
    <w:rsid w:val="00996437"/>
    <w:rsid w:val="00997E15"/>
    <w:rsid w:val="009A29FC"/>
    <w:rsid w:val="009A31F7"/>
    <w:rsid w:val="009B02CC"/>
    <w:rsid w:val="009B3740"/>
    <w:rsid w:val="009B52A2"/>
    <w:rsid w:val="009C1865"/>
    <w:rsid w:val="009C3D51"/>
    <w:rsid w:val="009C4667"/>
    <w:rsid w:val="009D0C07"/>
    <w:rsid w:val="009E2291"/>
    <w:rsid w:val="009E39F9"/>
    <w:rsid w:val="009E6B0D"/>
    <w:rsid w:val="009E7CA1"/>
    <w:rsid w:val="009F0A08"/>
    <w:rsid w:val="00A0105F"/>
    <w:rsid w:val="00A036B7"/>
    <w:rsid w:val="00A036ED"/>
    <w:rsid w:val="00A05F88"/>
    <w:rsid w:val="00A21422"/>
    <w:rsid w:val="00A22530"/>
    <w:rsid w:val="00A23615"/>
    <w:rsid w:val="00A23689"/>
    <w:rsid w:val="00A23BB1"/>
    <w:rsid w:val="00A26586"/>
    <w:rsid w:val="00A33D3E"/>
    <w:rsid w:val="00A33EB0"/>
    <w:rsid w:val="00A51D9A"/>
    <w:rsid w:val="00A662BB"/>
    <w:rsid w:val="00A7244B"/>
    <w:rsid w:val="00A72496"/>
    <w:rsid w:val="00A77D3D"/>
    <w:rsid w:val="00A83018"/>
    <w:rsid w:val="00A84C6A"/>
    <w:rsid w:val="00AA5D73"/>
    <w:rsid w:val="00AA5F55"/>
    <w:rsid w:val="00AB043E"/>
    <w:rsid w:val="00AB21F7"/>
    <w:rsid w:val="00AB3393"/>
    <w:rsid w:val="00AB4FE1"/>
    <w:rsid w:val="00AC014C"/>
    <w:rsid w:val="00AC11E1"/>
    <w:rsid w:val="00AC2B41"/>
    <w:rsid w:val="00AC41FB"/>
    <w:rsid w:val="00AC423B"/>
    <w:rsid w:val="00AC7943"/>
    <w:rsid w:val="00AD13F6"/>
    <w:rsid w:val="00AD17A9"/>
    <w:rsid w:val="00AD23EB"/>
    <w:rsid w:val="00AD384D"/>
    <w:rsid w:val="00AD3CD7"/>
    <w:rsid w:val="00AD55DC"/>
    <w:rsid w:val="00AD57F4"/>
    <w:rsid w:val="00AD7975"/>
    <w:rsid w:val="00AE504F"/>
    <w:rsid w:val="00AF10FB"/>
    <w:rsid w:val="00AF4027"/>
    <w:rsid w:val="00AF694F"/>
    <w:rsid w:val="00AF76EB"/>
    <w:rsid w:val="00B11AC8"/>
    <w:rsid w:val="00B129F6"/>
    <w:rsid w:val="00B13E95"/>
    <w:rsid w:val="00B15817"/>
    <w:rsid w:val="00B20944"/>
    <w:rsid w:val="00B23466"/>
    <w:rsid w:val="00B32B0A"/>
    <w:rsid w:val="00B32B58"/>
    <w:rsid w:val="00B3560A"/>
    <w:rsid w:val="00B4525F"/>
    <w:rsid w:val="00B45C4C"/>
    <w:rsid w:val="00B51772"/>
    <w:rsid w:val="00B52AE4"/>
    <w:rsid w:val="00B52C4C"/>
    <w:rsid w:val="00B53665"/>
    <w:rsid w:val="00B53F29"/>
    <w:rsid w:val="00B553FE"/>
    <w:rsid w:val="00B61FAF"/>
    <w:rsid w:val="00B6439F"/>
    <w:rsid w:val="00B653EC"/>
    <w:rsid w:val="00B66772"/>
    <w:rsid w:val="00B71200"/>
    <w:rsid w:val="00B74B00"/>
    <w:rsid w:val="00B74BDC"/>
    <w:rsid w:val="00B7752A"/>
    <w:rsid w:val="00B91192"/>
    <w:rsid w:val="00B93608"/>
    <w:rsid w:val="00B941A8"/>
    <w:rsid w:val="00B953F8"/>
    <w:rsid w:val="00BA07DC"/>
    <w:rsid w:val="00BA5A82"/>
    <w:rsid w:val="00BA6328"/>
    <w:rsid w:val="00BA7EB4"/>
    <w:rsid w:val="00BB6666"/>
    <w:rsid w:val="00BB6B5E"/>
    <w:rsid w:val="00BB7907"/>
    <w:rsid w:val="00BC2603"/>
    <w:rsid w:val="00BC709D"/>
    <w:rsid w:val="00BE3617"/>
    <w:rsid w:val="00BF1B08"/>
    <w:rsid w:val="00BF4F36"/>
    <w:rsid w:val="00C00172"/>
    <w:rsid w:val="00C00BBB"/>
    <w:rsid w:val="00C04EA3"/>
    <w:rsid w:val="00C11F73"/>
    <w:rsid w:val="00C145A4"/>
    <w:rsid w:val="00C31301"/>
    <w:rsid w:val="00C323B4"/>
    <w:rsid w:val="00C40FA5"/>
    <w:rsid w:val="00C41847"/>
    <w:rsid w:val="00C42B6D"/>
    <w:rsid w:val="00C43513"/>
    <w:rsid w:val="00C4545B"/>
    <w:rsid w:val="00C46E82"/>
    <w:rsid w:val="00C529FE"/>
    <w:rsid w:val="00C5455E"/>
    <w:rsid w:val="00C55977"/>
    <w:rsid w:val="00C579C5"/>
    <w:rsid w:val="00C60C7C"/>
    <w:rsid w:val="00C619BF"/>
    <w:rsid w:val="00C627B1"/>
    <w:rsid w:val="00C62ECD"/>
    <w:rsid w:val="00C652BF"/>
    <w:rsid w:val="00C71446"/>
    <w:rsid w:val="00C7458C"/>
    <w:rsid w:val="00C75D8D"/>
    <w:rsid w:val="00C779A0"/>
    <w:rsid w:val="00C83605"/>
    <w:rsid w:val="00C94A8D"/>
    <w:rsid w:val="00C9532B"/>
    <w:rsid w:val="00C9577D"/>
    <w:rsid w:val="00C968E5"/>
    <w:rsid w:val="00C96994"/>
    <w:rsid w:val="00C9787B"/>
    <w:rsid w:val="00CA2C3F"/>
    <w:rsid w:val="00CA6A09"/>
    <w:rsid w:val="00CA7A19"/>
    <w:rsid w:val="00CA7F12"/>
    <w:rsid w:val="00CB21AC"/>
    <w:rsid w:val="00CB3C67"/>
    <w:rsid w:val="00CB4984"/>
    <w:rsid w:val="00CB4AC8"/>
    <w:rsid w:val="00CB5E7F"/>
    <w:rsid w:val="00CB7318"/>
    <w:rsid w:val="00CC09D2"/>
    <w:rsid w:val="00CC73E9"/>
    <w:rsid w:val="00CC7731"/>
    <w:rsid w:val="00CD3FA9"/>
    <w:rsid w:val="00CD499B"/>
    <w:rsid w:val="00CD5B62"/>
    <w:rsid w:val="00CD7958"/>
    <w:rsid w:val="00CE3ABD"/>
    <w:rsid w:val="00CE4D05"/>
    <w:rsid w:val="00CE5640"/>
    <w:rsid w:val="00CF1D74"/>
    <w:rsid w:val="00CF366F"/>
    <w:rsid w:val="00D121F0"/>
    <w:rsid w:val="00D12687"/>
    <w:rsid w:val="00D127B8"/>
    <w:rsid w:val="00D2487C"/>
    <w:rsid w:val="00D33233"/>
    <w:rsid w:val="00D3331F"/>
    <w:rsid w:val="00D37D08"/>
    <w:rsid w:val="00D419DB"/>
    <w:rsid w:val="00D4535A"/>
    <w:rsid w:val="00D46301"/>
    <w:rsid w:val="00D4755E"/>
    <w:rsid w:val="00D57EAA"/>
    <w:rsid w:val="00D62F96"/>
    <w:rsid w:val="00D650C4"/>
    <w:rsid w:val="00D661CF"/>
    <w:rsid w:val="00D66686"/>
    <w:rsid w:val="00D71D4F"/>
    <w:rsid w:val="00D811EF"/>
    <w:rsid w:val="00D823A6"/>
    <w:rsid w:val="00D90E47"/>
    <w:rsid w:val="00D919AA"/>
    <w:rsid w:val="00D93119"/>
    <w:rsid w:val="00D94518"/>
    <w:rsid w:val="00D9463A"/>
    <w:rsid w:val="00D94877"/>
    <w:rsid w:val="00D97702"/>
    <w:rsid w:val="00DA131A"/>
    <w:rsid w:val="00DA1366"/>
    <w:rsid w:val="00DA360D"/>
    <w:rsid w:val="00DB07F5"/>
    <w:rsid w:val="00DB5987"/>
    <w:rsid w:val="00DB6189"/>
    <w:rsid w:val="00DB7554"/>
    <w:rsid w:val="00DC06F3"/>
    <w:rsid w:val="00DC1A03"/>
    <w:rsid w:val="00DC3709"/>
    <w:rsid w:val="00DC54F1"/>
    <w:rsid w:val="00DC56C2"/>
    <w:rsid w:val="00DC7B76"/>
    <w:rsid w:val="00DD0B20"/>
    <w:rsid w:val="00DD4822"/>
    <w:rsid w:val="00DD7655"/>
    <w:rsid w:val="00DF4C35"/>
    <w:rsid w:val="00DF53C7"/>
    <w:rsid w:val="00DF5E26"/>
    <w:rsid w:val="00E02FEC"/>
    <w:rsid w:val="00E0576A"/>
    <w:rsid w:val="00E06259"/>
    <w:rsid w:val="00E06B6C"/>
    <w:rsid w:val="00E1754F"/>
    <w:rsid w:val="00E245C2"/>
    <w:rsid w:val="00E247B5"/>
    <w:rsid w:val="00E26E4C"/>
    <w:rsid w:val="00E31478"/>
    <w:rsid w:val="00E31C2D"/>
    <w:rsid w:val="00E35106"/>
    <w:rsid w:val="00E35C40"/>
    <w:rsid w:val="00E3617C"/>
    <w:rsid w:val="00E37C48"/>
    <w:rsid w:val="00E37F1F"/>
    <w:rsid w:val="00E53DCA"/>
    <w:rsid w:val="00E567DC"/>
    <w:rsid w:val="00E5701A"/>
    <w:rsid w:val="00E602F3"/>
    <w:rsid w:val="00E6268A"/>
    <w:rsid w:val="00E62DFF"/>
    <w:rsid w:val="00E64843"/>
    <w:rsid w:val="00E65073"/>
    <w:rsid w:val="00E67600"/>
    <w:rsid w:val="00E75D18"/>
    <w:rsid w:val="00E82AD2"/>
    <w:rsid w:val="00E83946"/>
    <w:rsid w:val="00E87956"/>
    <w:rsid w:val="00E90152"/>
    <w:rsid w:val="00E92BAA"/>
    <w:rsid w:val="00E93DD8"/>
    <w:rsid w:val="00EA0815"/>
    <w:rsid w:val="00EA22A0"/>
    <w:rsid w:val="00EA4410"/>
    <w:rsid w:val="00EA5AB2"/>
    <w:rsid w:val="00EA5FB6"/>
    <w:rsid w:val="00EA6AF7"/>
    <w:rsid w:val="00EB3965"/>
    <w:rsid w:val="00EB752D"/>
    <w:rsid w:val="00EB7E78"/>
    <w:rsid w:val="00EB7F6B"/>
    <w:rsid w:val="00EC255B"/>
    <w:rsid w:val="00EC4258"/>
    <w:rsid w:val="00EC6CBC"/>
    <w:rsid w:val="00ED300F"/>
    <w:rsid w:val="00ED5CB9"/>
    <w:rsid w:val="00ED6E3B"/>
    <w:rsid w:val="00EE2155"/>
    <w:rsid w:val="00EE24B0"/>
    <w:rsid w:val="00EF2063"/>
    <w:rsid w:val="00EF4326"/>
    <w:rsid w:val="00EF5FEA"/>
    <w:rsid w:val="00EF6A0A"/>
    <w:rsid w:val="00EF6AEC"/>
    <w:rsid w:val="00EF7E21"/>
    <w:rsid w:val="00F013BB"/>
    <w:rsid w:val="00F02206"/>
    <w:rsid w:val="00F02EB1"/>
    <w:rsid w:val="00F06CBD"/>
    <w:rsid w:val="00F13E8B"/>
    <w:rsid w:val="00F232BA"/>
    <w:rsid w:val="00F24554"/>
    <w:rsid w:val="00F248E2"/>
    <w:rsid w:val="00F312EE"/>
    <w:rsid w:val="00F40FA3"/>
    <w:rsid w:val="00F42B45"/>
    <w:rsid w:val="00F4362D"/>
    <w:rsid w:val="00F4747A"/>
    <w:rsid w:val="00F476E3"/>
    <w:rsid w:val="00F50B74"/>
    <w:rsid w:val="00F5259D"/>
    <w:rsid w:val="00F601E0"/>
    <w:rsid w:val="00F63DCF"/>
    <w:rsid w:val="00F66C52"/>
    <w:rsid w:val="00F675DD"/>
    <w:rsid w:val="00F776AC"/>
    <w:rsid w:val="00F805AC"/>
    <w:rsid w:val="00F84324"/>
    <w:rsid w:val="00F86BFB"/>
    <w:rsid w:val="00F87DAD"/>
    <w:rsid w:val="00F9620A"/>
    <w:rsid w:val="00FA1EA3"/>
    <w:rsid w:val="00FA4A1A"/>
    <w:rsid w:val="00FB1231"/>
    <w:rsid w:val="00FB4227"/>
    <w:rsid w:val="00FB5AAA"/>
    <w:rsid w:val="00FB71AF"/>
    <w:rsid w:val="00FC1384"/>
    <w:rsid w:val="00FC1BC9"/>
    <w:rsid w:val="00FC37FA"/>
    <w:rsid w:val="00FC6A4C"/>
    <w:rsid w:val="00FD003F"/>
    <w:rsid w:val="00FD04C3"/>
    <w:rsid w:val="00FD3C3C"/>
    <w:rsid w:val="00FD52F3"/>
    <w:rsid w:val="00FD6195"/>
    <w:rsid w:val="00FD6248"/>
    <w:rsid w:val="00FD755D"/>
    <w:rsid w:val="00FE1D52"/>
    <w:rsid w:val="00FE1DD5"/>
    <w:rsid w:val="00FE4407"/>
    <w:rsid w:val="00FE4971"/>
    <w:rsid w:val="00FE5CCC"/>
    <w:rsid w:val="00FE608E"/>
    <w:rsid w:val="00FE65BC"/>
    <w:rsid w:val="00FF08C6"/>
    <w:rsid w:val="00FF13F7"/>
    <w:rsid w:val="00FF5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B463A"/>
    <w:pPr>
      <w:spacing w:after="160" w:line="259" w:lineRule="auto"/>
    </w:pPr>
    <w:rPr>
      <w:kern w:val="2"/>
      <w:sz w:val="28"/>
      <w:szCs w:val="22"/>
      <w:lang w:eastAsia="ja-JP"/>
    </w:rPr>
  </w:style>
  <w:style w:type="paragraph" w:styleId="Heading1">
    <w:name w:val="heading 1"/>
    <w:basedOn w:val="Normal"/>
    <w:next w:val="Normal"/>
    <w:link w:val="Heading1Char"/>
    <w:uiPriority w:val="99"/>
    <w:qFormat/>
    <w:rsid w:val="00EA4410"/>
    <w:pPr>
      <w:keepNext/>
      <w:keepLines/>
      <w:spacing w:before="360" w:after="80"/>
      <w:outlineLvl w:val="0"/>
    </w:pPr>
    <w:rPr>
      <w:rFonts w:ascii="Calibri Light" w:eastAsia="游???? Light" w:hAnsi="Calibri Light"/>
      <w:color w:val="2F5496"/>
      <w:sz w:val="40"/>
      <w:szCs w:val="40"/>
    </w:rPr>
  </w:style>
  <w:style w:type="paragraph" w:styleId="Heading2">
    <w:name w:val="heading 2"/>
    <w:basedOn w:val="Normal"/>
    <w:next w:val="Normal"/>
    <w:link w:val="Heading2Char"/>
    <w:uiPriority w:val="99"/>
    <w:qFormat/>
    <w:rsid w:val="00EA4410"/>
    <w:pPr>
      <w:keepNext/>
      <w:keepLines/>
      <w:spacing w:before="160" w:after="80"/>
      <w:outlineLvl w:val="1"/>
    </w:pPr>
    <w:rPr>
      <w:rFonts w:ascii="Calibri Light" w:eastAsia="游???? Light" w:hAnsi="Calibri Light"/>
      <w:color w:val="2F5496"/>
      <w:sz w:val="32"/>
      <w:szCs w:val="32"/>
    </w:rPr>
  </w:style>
  <w:style w:type="paragraph" w:styleId="Heading3">
    <w:name w:val="heading 3"/>
    <w:basedOn w:val="Normal"/>
    <w:next w:val="Normal"/>
    <w:link w:val="Heading3Char"/>
    <w:uiPriority w:val="99"/>
    <w:qFormat/>
    <w:rsid w:val="00EA4410"/>
    <w:pPr>
      <w:keepNext/>
      <w:keepLines/>
      <w:spacing w:before="160" w:after="80"/>
      <w:outlineLvl w:val="2"/>
    </w:pPr>
    <w:rPr>
      <w:rFonts w:ascii="Calibri" w:eastAsia="游???? Light" w:hAnsi="Calibri"/>
      <w:color w:val="2F5496"/>
      <w:szCs w:val="28"/>
    </w:rPr>
  </w:style>
  <w:style w:type="paragraph" w:styleId="Heading4">
    <w:name w:val="heading 4"/>
    <w:basedOn w:val="Normal"/>
    <w:next w:val="Normal"/>
    <w:link w:val="Heading4Char"/>
    <w:uiPriority w:val="99"/>
    <w:qFormat/>
    <w:rsid w:val="00EA4410"/>
    <w:pPr>
      <w:keepNext/>
      <w:keepLines/>
      <w:spacing w:before="80" w:after="40"/>
      <w:outlineLvl w:val="3"/>
    </w:pPr>
    <w:rPr>
      <w:rFonts w:ascii="Calibri" w:eastAsia="游???? Light" w:hAnsi="Calibri"/>
      <w:i/>
      <w:iCs/>
      <w:color w:val="2F5496"/>
    </w:rPr>
  </w:style>
  <w:style w:type="paragraph" w:styleId="Heading5">
    <w:name w:val="heading 5"/>
    <w:basedOn w:val="Normal"/>
    <w:next w:val="Normal"/>
    <w:link w:val="Heading5Char"/>
    <w:uiPriority w:val="99"/>
    <w:qFormat/>
    <w:rsid w:val="00EA4410"/>
    <w:pPr>
      <w:keepNext/>
      <w:keepLines/>
      <w:spacing w:before="80" w:after="40"/>
      <w:outlineLvl w:val="4"/>
    </w:pPr>
    <w:rPr>
      <w:rFonts w:ascii="Calibri" w:eastAsia="游???? Light" w:hAnsi="Calibri"/>
      <w:color w:val="2F5496"/>
    </w:rPr>
  </w:style>
  <w:style w:type="paragraph" w:styleId="Heading6">
    <w:name w:val="heading 6"/>
    <w:basedOn w:val="Normal"/>
    <w:next w:val="Normal"/>
    <w:link w:val="Heading6Char"/>
    <w:uiPriority w:val="99"/>
    <w:qFormat/>
    <w:rsid w:val="00EA4410"/>
    <w:pPr>
      <w:keepNext/>
      <w:keepLines/>
      <w:spacing w:before="40" w:after="0"/>
      <w:outlineLvl w:val="5"/>
    </w:pPr>
    <w:rPr>
      <w:rFonts w:ascii="Calibri" w:eastAsia="游???? Light" w:hAnsi="Calibri"/>
      <w:i/>
      <w:iCs/>
      <w:color w:val="595959"/>
    </w:rPr>
  </w:style>
  <w:style w:type="paragraph" w:styleId="Heading7">
    <w:name w:val="heading 7"/>
    <w:basedOn w:val="Normal"/>
    <w:next w:val="Normal"/>
    <w:link w:val="Heading7Char"/>
    <w:uiPriority w:val="99"/>
    <w:qFormat/>
    <w:rsid w:val="00EA4410"/>
    <w:pPr>
      <w:keepNext/>
      <w:keepLines/>
      <w:spacing w:before="40" w:after="0"/>
      <w:outlineLvl w:val="6"/>
    </w:pPr>
    <w:rPr>
      <w:rFonts w:ascii="Calibri" w:eastAsia="游???? Light" w:hAnsi="Calibri"/>
      <w:color w:val="595959"/>
    </w:rPr>
  </w:style>
  <w:style w:type="paragraph" w:styleId="Heading8">
    <w:name w:val="heading 8"/>
    <w:basedOn w:val="Normal"/>
    <w:next w:val="Normal"/>
    <w:link w:val="Heading8Char"/>
    <w:uiPriority w:val="99"/>
    <w:qFormat/>
    <w:rsid w:val="00EA4410"/>
    <w:pPr>
      <w:keepNext/>
      <w:keepLines/>
      <w:spacing w:after="0"/>
      <w:outlineLvl w:val="7"/>
    </w:pPr>
    <w:rPr>
      <w:rFonts w:ascii="Calibri" w:eastAsia="游???? Light" w:hAnsi="Calibri"/>
      <w:i/>
      <w:iCs/>
      <w:color w:val="272727"/>
    </w:rPr>
  </w:style>
  <w:style w:type="paragraph" w:styleId="Heading9">
    <w:name w:val="heading 9"/>
    <w:basedOn w:val="Normal"/>
    <w:next w:val="Normal"/>
    <w:link w:val="Heading9Char"/>
    <w:uiPriority w:val="99"/>
    <w:qFormat/>
    <w:rsid w:val="00EA4410"/>
    <w:pPr>
      <w:keepNext/>
      <w:keepLines/>
      <w:spacing w:after="0"/>
      <w:outlineLvl w:val="8"/>
    </w:pPr>
    <w:rPr>
      <w:rFonts w:ascii="Calibri" w:eastAsia="游???? Light" w:hAnsi="Calibr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4410"/>
    <w:rPr>
      <w:rFonts w:ascii="Calibri Light" w:eastAsia="游???? Light" w:hAnsi="Calibri Light" w:cs="Times New Roman"/>
      <w:color w:val="2F5496"/>
      <w:sz w:val="40"/>
      <w:szCs w:val="40"/>
    </w:rPr>
  </w:style>
  <w:style w:type="character" w:customStyle="1" w:styleId="Heading2Char">
    <w:name w:val="Heading 2 Char"/>
    <w:link w:val="Heading2"/>
    <w:uiPriority w:val="99"/>
    <w:locked/>
    <w:rsid w:val="00EA4410"/>
    <w:rPr>
      <w:rFonts w:ascii="Calibri Light" w:eastAsia="游???? Light" w:hAnsi="Calibri Light" w:cs="Times New Roman"/>
      <w:color w:val="2F5496"/>
      <w:sz w:val="32"/>
      <w:szCs w:val="32"/>
    </w:rPr>
  </w:style>
  <w:style w:type="character" w:customStyle="1" w:styleId="Heading3Char">
    <w:name w:val="Heading 3 Char"/>
    <w:link w:val="Heading3"/>
    <w:uiPriority w:val="99"/>
    <w:semiHidden/>
    <w:locked/>
    <w:rsid w:val="00EA4410"/>
    <w:rPr>
      <w:rFonts w:ascii="Calibri" w:eastAsia="游???? Light" w:hAnsi="Calibri" w:cs="Times New Roman"/>
      <w:color w:val="2F5496"/>
      <w:sz w:val="28"/>
      <w:szCs w:val="28"/>
    </w:rPr>
  </w:style>
  <w:style w:type="character" w:customStyle="1" w:styleId="Heading4Char">
    <w:name w:val="Heading 4 Char"/>
    <w:link w:val="Heading4"/>
    <w:uiPriority w:val="99"/>
    <w:semiHidden/>
    <w:locked/>
    <w:rsid w:val="00EA4410"/>
    <w:rPr>
      <w:rFonts w:ascii="Calibri" w:eastAsia="游???? Light" w:hAnsi="Calibri" w:cs="Times New Roman"/>
      <w:i/>
      <w:iCs/>
      <w:color w:val="2F5496"/>
    </w:rPr>
  </w:style>
  <w:style w:type="character" w:customStyle="1" w:styleId="Heading5Char">
    <w:name w:val="Heading 5 Char"/>
    <w:link w:val="Heading5"/>
    <w:uiPriority w:val="99"/>
    <w:semiHidden/>
    <w:locked/>
    <w:rsid w:val="00EA4410"/>
    <w:rPr>
      <w:rFonts w:ascii="Calibri" w:eastAsia="游???? Light" w:hAnsi="Calibri" w:cs="Times New Roman"/>
      <w:color w:val="2F5496"/>
    </w:rPr>
  </w:style>
  <w:style w:type="character" w:customStyle="1" w:styleId="Heading6Char">
    <w:name w:val="Heading 6 Char"/>
    <w:link w:val="Heading6"/>
    <w:uiPriority w:val="99"/>
    <w:semiHidden/>
    <w:locked/>
    <w:rsid w:val="00EA4410"/>
    <w:rPr>
      <w:rFonts w:ascii="Calibri" w:eastAsia="游???? Light" w:hAnsi="Calibri" w:cs="Times New Roman"/>
      <w:i/>
      <w:iCs/>
      <w:color w:val="595959"/>
    </w:rPr>
  </w:style>
  <w:style w:type="character" w:customStyle="1" w:styleId="Heading7Char">
    <w:name w:val="Heading 7 Char"/>
    <w:link w:val="Heading7"/>
    <w:uiPriority w:val="99"/>
    <w:semiHidden/>
    <w:locked/>
    <w:rsid w:val="00EA4410"/>
    <w:rPr>
      <w:rFonts w:ascii="Calibri" w:eastAsia="游???? Light" w:hAnsi="Calibri" w:cs="Times New Roman"/>
      <w:color w:val="595959"/>
    </w:rPr>
  </w:style>
  <w:style w:type="character" w:customStyle="1" w:styleId="Heading8Char">
    <w:name w:val="Heading 8 Char"/>
    <w:link w:val="Heading8"/>
    <w:uiPriority w:val="99"/>
    <w:semiHidden/>
    <w:locked/>
    <w:rsid w:val="00EA4410"/>
    <w:rPr>
      <w:rFonts w:ascii="Calibri" w:eastAsia="游???? Light" w:hAnsi="Calibri" w:cs="Times New Roman"/>
      <w:i/>
      <w:iCs/>
      <w:color w:val="272727"/>
    </w:rPr>
  </w:style>
  <w:style w:type="character" w:customStyle="1" w:styleId="Heading9Char">
    <w:name w:val="Heading 9 Char"/>
    <w:link w:val="Heading9"/>
    <w:uiPriority w:val="99"/>
    <w:semiHidden/>
    <w:locked/>
    <w:rsid w:val="00EA4410"/>
    <w:rPr>
      <w:rFonts w:ascii="Calibri" w:eastAsia="游???? Light" w:hAnsi="Calibri" w:cs="Times New Roman"/>
      <w:color w:val="272727"/>
    </w:rPr>
  </w:style>
  <w:style w:type="paragraph" w:styleId="Title">
    <w:name w:val="Title"/>
    <w:basedOn w:val="Normal"/>
    <w:next w:val="Normal"/>
    <w:link w:val="TitleChar"/>
    <w:uiPriority w:val="99"/>
    <w:qFormat/>
    <w:rsid w:val="00EA4410"/>
    <w:pPr>
      <w:spacing w:after="80" w:line="240" w:lineRule="auto"/>
      <w:contextualSpacing/>
    </w:pPr>
    <w:rPr>
      <w:rFonts w:ascii="Calibri Light" w:eastAsia="游???? Light" w:hAnsi="Calibri Light"/>
      <w:spacing w:val="-10"/>
      <w:kern w:val="28"/>
      <w:sz w:val="56"/>
      <w:szCs w:val="56"/>
    </w:rPr>
  </w:style>
  <w:style w:type="character" w:customStyle="1" w:styleId="TitleChar">
    <w:name w:val="Title Char"/>
    <w:link w:val="Title"/>
    <w:uiPriority w:val="99"/>
    <w:locked/>
    <w:rsid w:val="00EA4410"/>
    <w:rPr>
      <w:rFonts w:ascii="Calibri Light" w:eastAsia="游???? Light" w:hAnsi="Calibri Light" w:cs="Times New Roman"/>
      <w:spacing w:val="-10"/>
      <w:kern w:val="28"/>
      <w:sz w:val="56"/>
      <w:szCs w:val="56"/>
    </w:rPr>
  </w:style>
  <w:style w:type="paragraph" w:styleId="Subtitle">
    <w:name w:val="Subtitle"/>
    <w:basedOn w:val="Normal"/>
    <w:next w:val="Normal"/>
    <w:link w:val="SubtitleChar"/>
    <w:uiPriority w:val="99"/>
    <w:qFormat/>
    <w:rsid w:val="00EA4410"/>
    <w:pPr>
      <w:numPr>
        <w:ilvl w:val="1"/>
      </w:numPr>
    </w:pPr>
    <w:rPr>
      <w:rFonts w:ascii="Calibri" w:eastAsia="游???? Light" w:hAnsi="Calibri"/>
      <w:color w:val="595959"/>
      <w:spacing w:val="15"/>
      <w:szCs w:val="28"/>
    </w:rPr>
  </w:style>
  <w:style w:type="character" w:customStyle="1" w:styleId="SubtitleChar">
    <w:name w:val="Subtitle Char"/>
    <w:link w:val="Subtitle"/>
    <w:uiPriority w:val="99"/>
    <w:locked/>
    <w:rsid w:val="00EA4410"/>
    <w:rPr>
      <w:rFonts w:ascii="Calibri" w:eastAsia="游???? Light" w:hAnsi="Calibri" w:cs="Times New Roman"/>
      <w:color w:val="595959"/>
      <w:spacing w:val="15"/>
      <w:sz w:val="28"/>
      <w:szCs w:val="28"/>
    </w:rPr>
  </w:style>
  <w:style w:type="paragraph" w:styleId="Quote">
    <w:name w:val="Quote"/>
    <w:basedOn w:val="Normal"/>
    <w:next w:val="Normal"/>
    <w:link w:val="QuoteChar"/>
    <w:uiPriority w:val="99"/>
    <w:qFormat/>
    <w:rsid w:val="00EA4410"/>
    <w:pPr>
      <w:spacing w:before="160"/>
      <w:jc w:val="center"/>
    </w:pPr>
    <w:rPr>
      <w:i/>
      <w:iCs/>
      <w:color w:val="404040"/>
    </w:rPr>
  </w:style>
  <w:style w:type="character" w:customStyle="1" w:styleId="QuoteChar">
    <w:name w:val="Quote Char"/>
    <w:link w:val="Quote"/>
    <w:uiPriority w:val="99"/>
    <w:locked/>
    <w:rsid w:val="00EA4410"/>
    <w:rPr>
      <w:rFonts w:cs="Times New Roman"/>
      <w:i/>
      <w:iCs/>
      <w:color w:val="404040"/>
    </w:rPr>
  </w:style>
  <w:style w:type="paragraph" w:styleId="ListParagraph">
    <w:name w:val="List Paragraph"/>
    <w:basedOn w:val="Normal"/>
    <w:uiPriority w:val="99"/>
    <w:qFormat/>
    <w:rsid w:val="00EA4410"/>
    <w:pPr>
      <w:ind w:left="720"/>
      <w:contextualSpacing/>
    </w:pPr>
  </w:style>
  <w:style w:type="character" w:styleId="IntenseEmphasis">
    <w:name w:val="Intense Emphasis"/>
    <w:uiPriority w:val="99"/>
    <w:qFormat/>
    <w:rsid w:val="00EA4410"/>
    <w:rPr>
      <w:rFonts w:cs="Times New Roman"/>
      <w:i/>
      <w:iCs/>
      <w:color w:val="2F5496"/>
    </w:rPr>
  </w:style>
  <w:style w:type="paragraph" w:styleId="IntenseQuote">
    <w:name w:val="Intense Quote"/>
    <w:basedOn w:val="Normal"/>
    <w:next w:val="Normal"/>
    <w:link w:val="IntenseQuoteChar"/>
    <w:uiPriority w:val="99"/>
    <w:qFormat/>
    <w:rsid w:val="00EA441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99"/>
    <w:locked/>
    <w:rsid w:val="00EA4410"/>
    <w:rPr>
      <w:rFonts w:cs="Times New Roman"/>
      <w:i/>
      <w:iCs/>
      <w:color w:val="2F5496"/>
    </w:rPr>
  </w:style>
  <w:style w:type="character" w:styleId="IntenseReference">
    <w:name w:val="Intense Reference"/>
    <w:uiPriority w:val="99"/>
    <w:qFormat/>
    <w:rsid w:val="00EA4410"/>
    <w:rPr>
      <w:rFonts w:cs="Times New Roman"/>
      <w:b/>
      <w:bCs/>
      <w:smallCaps/>
      <w:color w:val="2F5496"/>
      <w:spacing w:val="5"/>
    </w:rPr>
  </w:style>
  <w:style w:type="table" w:styleId="TableGrid">
    <w:name w:val="Table Grid"/>
    <w:basedOn w:val="TableNormal"/>
    <w:uiPriority w:val="99"/>
    <w:rsid w:val="00EA4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1781D"/>
    <w:pPr>
      <w:tabs>
        <w:tab w:val="center" w:pos="4680"/>
        <w:tab w:val="right" w:pos="9360"/>
      </w:tabs>
      <w:spacing w:after="0" w:line="240" w:lineRule="auto"/>
    </w:pPr>
  </w:style>
  <w:style w:type="character" w:customStyle="1" w:styleId="HeaderChar">
    <w:name w:val="Header Char"/>
    <w:link w:val="Header"/>
    <w:uiPriority w:val="99"/>
    <w:locked/>
    <w:rsid w:val="0001781D"/>
    <w:rPr>
      <w:rFonts w:cs="Times New Roman"/>
    </w:rPr>
  </w:style>
  <w:style w:type="paragraph" w:styleId="Footer">
    <w:name w:val="footer"/>
    <w:basedOn w:val="Normal"/>
    <w:link w:val="FooterChar"/>
    <w:uiPriority w:val="99"/>
    <w:rsid w:val="0001781D"/>
    <w:pPr>
      <w:tabs>
        <w:tab w:val="center" w:pos="4680"/>
        <w:tab w:val="right" w:pos="9360"/>
      </w:tabs>
      <w:spacing w:after="0" w:line="240" w:lineRule="auto"/>
    </w:pPr>
  </w:style>
  <w:style w:type="character" w:customStyle="1" w:styleId="FooterChar">
    <w:name w:val="Footer Char"/>
    <w:link w:val="Footer"/>
    <w:uiPriority w:val="99"/>
    <w:locked/>
    <w:rsid w:val="0001781D"/>
    <w:rPr>
      <w:rFonts w:cs="Times New Roman"/>
    </w:rPr>
  </w:style>
  <w:style w:type="paragraph" w:styleId="FootnoteText">
    <w:name w:val="footnote text"/>
    <w:basedOn w:val="Normal"/>
    <w:link w:val="FootnoteTextChar"/>
    <w:uiPriority w:val="99"/>
    <w:semiHidden/>
    <w:rsid w:val="00CB5E7F"/>
    <w:pPr>
      <w:spacing w:after="0" w:line="240" w:lineRule="auto"/>
    </w:pPr>
    <w:rPr>
      <w:sz w:val="20"/>
      <w:szCs w:val="20"/>
    </w:rPr>
  </w:style>
  <w:style w:type="character" w:customStyle="1" w:styleId="FootnoteTextChar">
    <w:name w:val="Footnote Text Char"/>
    <w:link w:val="FootnoteText"/>
    <w:uiPriority w:val="99"/>
    <w:semiHidden/>
    <w:locked/>
    <w:rsid w:val="00CB5E7F"/>
    <w:rPr>
      <w:rFonts w:cs="Times New Roman"/>
      <w:sz w:val="20"/>
      <w:szCs w:val="20"/>
    </w:rPr>
  </w:style>
  <w:style w:type="character" w:styleId="FootnoteReference">
    <w:name w:val="footnote reference"/>
    <w:uiPriority w:val="99"/>
    <w:semiHidden/>
    <w:rsid w:val="00CB5E7F"/>
    <w:rPr>
      <w:rFonts w:cs="Times New Roman"/>
      <w:vertAlign w:val="superscript"/>
    </w:rPr>
  </w:style>
  <w:style w:type="character" w:styleId="Hyperlink">
    <w:name w:val="Hyperlink"/>
    <w:uiPriority w:val="99"/>
    <w:rsid w:val="00674A81"/>
    <w:rPr>
      <w:rFonts w:cs="Times New Roman"/>
      <w:color w:val="0563C1"/>
      <w:u w:val="single"/>
    </w:rPr>
  </w:style>
  <w:style w:type="character" w:customStyle="1" w:styleId="UnresolvedMention1">
    <w:name w:val="Unresolved Mention1"/>
    <w:uiPriority w:val="99"/>
    <w:semiHidden/>
    <w:rsid w:val="00674A81"/>
    <w:rPr>
      <w:rFonts w:cs="Times New Roman"/>
      <w:color w:val="605E5C"/>
      <w:shd w:val="clear" w:color="auto" w:fill="E1DFDD"/>
    </w:rPr>
  </w:style>
  <w:style w:type="paragraph" w:styleId="BodyText">
    <w:name w:val="Body Text"/>
    <w:basedOn w:val="Normal"/>
    <w:link w:val="BodyTextChar"/>
    <w:uiPriority w:val="99"/>
    <w:rsid w:val="00825999"/>
    <w:pPr>
      <w:spacing w:after="0" w:line="240" w:lineRule="auto"/>
    </w:pPr>
    <w:rPr>
      <w:rFonts w:ascii=".VnTime" w:hAnsi=".VnTime"/>
      <w:kern w:val="0"/>
      <w:szCs w:val="20"/>
      <w:lang w:eastAsia="en-US"/>
    </w:rPr>
  </w:style>
  <w:style w:type="character" w:customStyle="1" w:styleId="BodyTextChar">
    <w:name w:val="Body Text Char"/>
    <w:link w:val="BodyText"/>
    <w:uiPriority w:val="99"/>
    <w:locked/>
    <w:rsid w:val="00825999"/>
    <w:rPr>
      <w:rFonts w:ascii=".VnTime" w:hAnsi=".VnTime" w:cs="Times New Roman"/>
      <w:kern w:val="0"/>
      <w:sz w:val="20"/>
      <w:szCs w:val="20"/>
      <w:lang w:eastAsia="en-US"/>
    </w:rPr>
  </w:style>
  <w:style w:type="paragraph" w:styleId="BalloonText">
    <w:name w:val="Balloon Text"/>
    <w:basedOn w:val="Normal"/>
    <w:link w:val="BalloonTextChar"/>
    <w:uiPriority w:val="99"/>
    <w:semiHidden/>
    <w:rsid w:val="00C4184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C41847"/>
    <w:rPr>
      <w:rFonts w:ascii="Segoe UI" w:hAnsi="Segoe UI" w:cs="Segoe UI"/>
      <w:sz w:val="18"/>
      <w:szCs w:val="18"/>
    </w:rPr>
  </w:style>
  <w:style w:type="paragraph" w:styleId="Revision">
    <w:name w:val="Revision"/>
    <w:hidden/>
    <w:uiPriority w:val="99"/>
    <w:semiHidden/>
    <w:rsid w:val="00EB752D"/>
    <w:rPr>
      <w:kern w:val="2"/>
      <w:sz w:val="28"/>
      <w:szCs w:val="22"/>
      <w:lang w:eastAsia="ja-JP"/>
    </w:rPr>
  </w:style>
  <w:style w:type="character" w:styleId="Strong">
    <w:name w:val="Strong"/>
    <w:uiPriority w:val="99"/>
    <w:qFormat/>
    <w:rsid w:val="00AB3393"/>
    <w:rPr>
      <w:rFonts w:cs="Times New Roman"/>
      <w:b/>
      <w:bCs/>
    </w:rPr>
  </w:style>
  <w:style w:type="character" w:customStyle="1" w:styleId="Vnbnnidung">
    <w:name w:val="Văn bản nội dung_"/>
    <w:link w:val="Vnbnnidung0"/>
    <w:uiPriority w:val="99"/>
    <w:locked/>
    <w:rsid w:val="00A83018"/>
    <w:rPr>
      <w:rFonts w:eastAsia="Times New Roman"/>
      <w:sz w:val="26"/>
    </w:rPr>
  </w:style>
  <w:style w:type="paragraph" w:customStyle="1" w:styleId="Vnbnnidung0">
    <w:name w:val="Văn bản nội dung"/>
    <w:basedOn w:val="Normal"/>
    <w:link w:val="Vnbnnidung"/>
    <w:uiPriority w:val="99"/>
    <w:rsid w:val="00A83018"/>
    <w:pPr>
      <w:widowControl w:val="0"/>
      <w:spacing w:after="40" w:line="288" w:lineRule="auto"/>
      <w:ind w:firstLine="400"/>
    </w:pPr>
    <w:rPr>
      <w:kern w:val="0"/>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214751">
      <w:marLeft w:val="0"/>
      <w:marRight w:val="0"/>
      <w:marTop w:val="0"/>
      <w:marBottom w:val="0"/>
      <w:divBdr>
        <w:top w:val="none" w:sz="0" w:space="0" w:color="auto"/>
        <w:left w:val="none" w:sz="0" w:space="0" w:color="auto"/>
        <w:bottom w:val="none" w:sz="0" w:space="0" w:color="auto"/>
        <w:right w:val="none" w:sz="0" w:space="0" w:color="auto"/>
      </w:divBdr>
    </w:div>
    <w:div w:id="1530214752">
      <w:marLeft w:val="0"/>
      <w:marRight w:val="0"/>
      <w:marTop w:val="0"/>
      <w:marBottom w:val="0"/>
      <w:divBdr>
        <w:top w:val="none" w:sz="0" w:space="0" w:color="auto"/>
        <w:left w:val="none" w:sz="0" w:space="0" w:color="auto"/>
        <w:bottom w:val="none" w:sz="0" w:space="0" w:color="auto"/>
        <w:right w:val="none" w:sz="0" w:space="0" w:color="auto"/>
      </w:divBdr>
    </w:div>
    <w:div w:id="1530214753">
      <w:marLeft w:val="0"/>
      <w:marRight w:val="0"/>
      <w:marTop w:val="0"/>
      <w:marBottom w:val="0"/>
      <w:divBdr>
        <w:top w:val="none" w:sz="0" w:space="0" w:color="auto"/>
        <w:left w:val="none" w:sz="0" w:space="0" w:color="auto"/>
        <w:bottom w:val="none" w:sz="0" w:space="0" w:color="auto"/>
        <w:right w:val="none" w:sz="0" w:space="0" w:color="auto"/>
      </w:divBdr>
    </w:div>
    <w:div w:id="1530214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15</Pages>
  <Words>5923</Words>
  <Characters>33762</Characters>
  <Application>Microsoft Office Word</Application>
  <DocSecurity>0</DocSecurity>
  <Lines>281</Lines>
  <Paragraphs>79</Paragraphs>
  <ScaleCrop>false</ScaleCrop>
  <Company/>
  <LinksUpToDate>false</LinksUpToDate>
  <CharactersWithSpaces>39606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Việt Phú</dc:creator>
  <cp:keywords/>
  <dc:description/>
  <cp:lastModifiedBy>Windows User</cp:lastModifiedBy>
  <cp:revision>48</cp:revision>
  <cp:lastPrinted>2025-09-16T03:49:00Z</cp:lastPrinted>
  <dcterms:created xsi:type="dcterms:W3CDTF">2026-04-08T08:25:00Z</dcterms:created>
  <dcterms:modified xsi:type="dcterms:W3CDTF">2026-04-21T08:44:00Z</dcterms:modified>
</cp:coreProperties>
</file>