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460"/>
        <w:tblW w:w="6322" w:type="pct"/>
        <w:tblCellMar>
          <w:left w:w="0" w:type="dxa"/>
          <w:right w:w="0" w:type="dxa"/>
        </w:tblCellMar>
        <w:tblLook w:val="04A0" w:firstRow="1" w:lastRow="0" w:firstColumn="1" w:lastColumn="0" w:noHBand="0" w:noVBand="1"/>
      </w:tblPr>
      <w:tblGrid>
        <w:gridCol w:w="7743"/>
        <w:gridCol w:w="10682"/>
      </w:tblGrid>
      <w:tr w:rsidR="00716BF1" w:rsidRPr="00A730D8" w14:paraId="7723CDF7" w14:textId="77777777" w:rsidTr="00716BF1">
        <w:trPr>
          <w:trHeight w:val="1965"/>
        </w:trPr>
        <w:tc>
          <w:tcPr>
            <w:tcW w:w="7743" w:type="dxa"/>
            <w:tcMar>
              <w:top w:w="0" w:type="dxa"/>
              <w:left w:w="108" w:type="dxa"/>
              <w:bottom w:w="0" w:type="dxa"/>
              <w:right w:w="108" w:type="dxa"/>
            </w:tcMar>
            <w:hideMark/>
          </w:tcPr>
          <w:p w14:paraId="2CE97243" w14:textId="77777777" w:rsidR="00E63D0C" w:rsidRPr="00E63D0C" w:rsidRDefault="00E63D0C" w:rsidP="00E63D0C">
            <w:pPr>
              <w:spacing w:after="0" w:line="240" w:lineRule="auto"/>
              <w:jc w:val="center"/>
              <w:rPr>
                <w:rFonts w:ascii="Times New Roman" w:hAnsi="Times New Roman" w:cs="Times New Roman"/>
                <w:spacing w:val="-10"/>
                <w:sz w:val="26"/>
                <w:szCs w:val="26"/>
              </w:rPr>
            </w:pPr>
            <w:r w:rsidRPr="00E63D0C">
              <w:rPr>
                <w:rFonts w:ascii="Times New Roman" w:hAnsi="Times New Roman" w:cs="Times New Roman"/>
                <w:spacing w:val="-10"/>
                <w:sz w:val="26"/>
                <w:szCs w:val="26"/>
              </w:rPr>
              <w:t>UBND TỈNH AN GIANG</w:t>
            </w:r>
          </w:p>
          <w:p w14:paraId="0478D8C6" w14:textId="6D719ED0" w:rsidR="00716BF1" w:rsidRPr="00CD79C3" w:rsidRDefault="00716BF1" w:rsidP="00E63D0C">
            <w:pPr>
              <w:tabs>
                <w:tab w:val="left" w:pos="4230"/>
              </w:tabs>
              <w:spacing w:after="0" w:line="240" w:lineRule="auto"/>
              <w:jc w:val="center"/>
              <w:rPr>
                <w:rFonts w:ascii="Times New Roman" w:eastAsia="Times New Roman" w:hAnsi="Times New Roman" w:cs="Times New Roman"/>
                <w:b/>
                <w:bCs/>
                <w:color w:val="000000"/>
                <w:sz w:val="26"/>
                <w:szCs w:val="26"/>
              </w:rPr>
            </w:pPr>
            <w:r w:rsidRPr="00E63D0C">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33A16FD2" wp14:editId="3987288E">
                      <wp:simplePos x="0" y="0"/>
                      <wp:positionH relativeFrom="column">
                        <wp:posOffset>1709420</wp:posOffset>
                      </wp:positionH>
                      <wp:positionV relativeFrom="paragraph">
                        <wp:posOffset>234950</wp:posOffset>
                      </wp:positionV>
                      <wp:extent cx="13868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1857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4.6pt,18.5pt" to="2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ntQEAALcDAAAOAAAAZHJzL2Uyb0RvYy54bWysU8GOEzEMvSPxD1HudNot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" strokecolor="black [3200]" strokeweight=".5pt">
                      <v:stroke joinstyle="miter"/>
                    </v:line>
                  </w:pict>
                </mc:Fallback>
              </mc:AlternateContent>
            </w:r>
            <w:r w:rsidRPr="00E63D0C">
              <w:rPr>
                <w:rFonts w:ascii="Times New Roman" w:eastAsia="Times New Roman" w:hAnsi="Times New Roman" w:cs="Times New Roman"/>
                <w:b/>
                <w:bCs/>
                <w:color w:val="000000"/>
                <w:sz w:val="26"/>
                <w:szCs w:val="26"/>
              </w:rPr>
              <w:t>SỞ NÔNG NGHIỆP VÀ MÔI TRƯỜNG</w:t>
            </w:r>
          </w:p>
        </w:tc>
        <w:tc>
          <w:tcPr>
            <w:tcW w:w="10682" w:type="dxa"/>
            <w:tcMar>
              <w:top w:w="0" w:type="dxa"/>
              <w:left w:w="108" w:type="dxa"/>
              <w:bottom w:w="0" w:type="dxa"/>
              <w:right w:w="108" w:type="dxa"/>
            </w:tcMar>
            <w:hideMark/>
          </w:tcPr>
          <w:p w14:paraId="2B20D71B" w14:textId="1071247C" w:rsidR="00716BF1" w:rsidRDefault="00716BF1" w:rsidP="00716BF1">
            <w:pPr>
              <w:spacing w:before="100" w:beforeAutospacing="1" w:after="100" w:afterAutospacing="1"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3360" behindDoc="0" locked="0" layoutInCell="1" allowOverlap="1" wp14:anchorId="180AB4AA" wp14:editId="669FF1F6">
                      <wp:simplePos x="0" y="0"/>
                      <wp:positionH relativeFrom="column">
                        <wp:posOffset>2362835</wp:posOffset>
                      </wp:positionH>
                      <wp:positionV relativeFrom="paragraph">
                        <wp:posOffset>402590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429B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6.05pt,31.7pt" to="336.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" strokecolor="black [3200]" strokeweight=".5pt">
                      <v:stroke joinstyle="miter"/>
                    </v:line>
                  </w:pict>
                </mc:Fallback>
              </mc:AlternateContent>
            </w:r>
            <w:r w:rsidRPr="00165A3B">
              <w:rPr>
                <w:rFonts w:ascii="Times New Roman" w:eastAsia="Times New Roman" w:hAnsi="Times New Roman" w:cs="Times New Roman"/>
                <w:b/>
                <w:bCs/>
                <w:color w:val="000000"/>
                <w:sz w:val="26"/>
                <w:szCs w:val="26"/>
              </w:rPr>
              <w:t>CỘNG HÒA XÃ HỘI CHỦ NGHĨA VIỆT NAM</w:t>
            </w:r>
            <w:r w:rsidRPr="00165A3B">
              <w:rPr>
                <w:rFonts w:ascii="Times New Roman" w:eastAsia="Times New Roman" w:hAnsi="Times New Roman" w:cs="Times New Roman"/>
                <w:b/>
                <w:bCs/>
                <w:color w:val="000000"/>
                <w:sz w:val="26"/>
                <w:szCs w:val="26"/>
              </w:rPr>
              <w:br/>
              <w:t>Độc lập - Tự do - Hạnh phúc</w:t>
            </w:r>
          </w:p>
          <w:p w14:paraId="25E902F9" w14:textId="6D792633" w:rsidR="00716BF1" w:rsidRPr="00866B38" w:rsidRDefault="00716BF1" w:rsidP="00716BF1">
            <w:pPr>
              <w:spacing w:before="100" w:beforeAutospacing="1" w:after="100" w:afterAutospacing="1" w:line="240" w:lineRule="auto"/>
              <w:jc w:val="center"/>
              <w:rPr>
                <w:rFonts w:ascii="Times New Roman" w:eastAsia="Times New Roman" w:hAnsi="Times New Roman" w:cs="Times New Roman"/>
                <w:i/>
                <w:iCs/>
                <w:color w:val="000000"/>
                <w:sz w:val="2"/>
                <w:szCs w:val="26"/>
              </w:rPr>
            </w:pPr>
            <w:r>
              <w:rPr>
                <w:rFonts w:ascii="Times New Roman" w:eastAsia="Times New Roman" w:hAnsi="Times New Roman" w:cs="Times New Roman"/>
                <w:i/>
                <w:iCs/>
                <w:color w:val="000000"/>
                <w:sz w:val="26"/>
                <w:szCs w:val="26"/>
              </w:rPr>
              <w:t>An Giang, ngày … tháng … năm 2025</w:t>
            </w:r>
          </w:p>
        </w:tc>
      </w:tr>
    </w:tbl>
    <w:p w14:paraId="7A472172" w14:textId="32BB845E" w:rsidR="00A63E68" w:rsidRPr="00E33E25" w:rsidRDefault="00A730D8" w:rsidP="00E33E25">
      <w:pPr>
        <w:spacing w:after="0" w:line="240" w:lineRule="auto"/>
        <w:jc w:val="center"/>
        <w:rPr>
          <w:rFonts w:ascii="Times New Roman" w:hAnsi="Times New Roman" w:cs="Times New Roman"/>
          <w:b/>
          <w:color w:val="000000"/>
          <w:sz w:val="26"/>
          <w:szCs w:val="26"/>
        </w:rPr>
      </w:pPr>
      <w:r w:rsidRPr="00574C11">
        <w:rPr>
          <w:rFonts w:ascii="Times New Roman" w:eastAsia="Times New Roman" w:hAnsi="Times New Roman" w:cs="Times New Roman"/>
          <w:b/>
          <w:bCs/>
          <w:color w:val="000000"/>
          <w:sz w:val="26"/>
          <w:szCs w:val="26"/>
        </w:rPr>
        <w:t xml:space="preserve"> </w:t>
      </w:r>
      <w:r w:rsidR="00A63E68" w:rsidRPr="00574C11">
        <w:rPr>
          <w:rFonts w:ascii="Times New Roman" w:hAnsi="Times New Roman" w:cs="Times New Roman"/>
          <w:b/>
          <w:bCs/>
          <w:sz w:val="26"/>
          <w:szCs w:val="26"/>
        </w:rPr>
        <w:t xml:space="preserve">BẢN SO SÁNH, THUYẾT MINH NỘI DUNG </w:t>
      </w:r>
      <w:r w:rsidR="00A63E68" w:rsidRPr="00574C11">
        <w:rPr>
          <w:rFonts w:ascii="Times New Roman" w:eastAsia="Times New Roman" w:hAnsi="Times New Roman" w:cs="Times New Roman"/>
          <w:b/>
          <w:bCs/>
          <w:color w:val="000000"/>
          <w:sz w:val="26"/>
          <w:szCs w:val="26"/>
        </w:rPr>
        <w:t xml:space="preserve">DỰ THẢO </w:t>
      </w:r>
      <w:r w:rsidR="00A63E68" w:rsidRPr="00574C11">
        <w:rPr>
          <w:rFonts w:ascii="Times New Roman" w:hAnsi="Times New Roman" w:cs="Times New Roman"/>
          <w:b/>
          <w:color w:val="000000"/>
          <w:sz w:val="26"/>
          <w:szCs w:val="26"/>
        </w:rPr>
        <w:t>NGHỊ QUYẾ</w:t>
      </w:r>
      <w:bookmarkStart w:id="0" w:name="_Hlk202880407"/>
      <w:r w:rsidR="00A63E68" w:rsidRPr="00574C11">
        <w:rPr>
          <w:rFonts w:ascii="Times New Roman" w:hAnsi="Times New Roman" w:cs="Times New Roman"/>
          <w:b/>
          <w:color w:val="000000"/>
          <w:sz w:val="26"/>
          <w:szCs w:val="26"/>
        </w:rPr>
        <w:t xml:space="preserve">T </w:t>
      </w:r>
      <w:bookmarkEnd w:id="0"/>
      <w:r w:rsidR="00E33E25" w:rsidRPr="00E33E25">
        <w:rPr>
          <w:rFonts w:ascii="Times New Roman" w:hAnsi="Times New Roman" w:cs="Times New Roman"/>
          <w:b/>
          <w:color w:val="000000"/>
          <w:sz w:val="26"/>
          <w:szCs w:val="26"/>
        </w:rPr>
        <w:t>QUY ĐỊNH MỨC HỖ TRỢ KHẮC PHỤC DỊCH BỆNH ĐỘNG VẬT TRÊN ĐỊA BÀN TỈNH AN GIANG</w:t>
      </w:r>
      <w:r w:rsidR="00262612">
        <w:rPr>
          <w:rFonts w:ascii="Times New Roman" w:hAnsi="Times New Roman" w:cs="Times New Roman"/>
          <w:b/>
          <w:bCs/>
          <w:sz w:val="26"/>
          <w:szCs w:val="26"/>
        </w:rPr>
        <w:t xml:space="preserve"> </w:t>
      </w:r>
      <w:r w:rsidR="00A63E68" w:rsidRPr="00574C11">
        <w:rPr>
          <w:rFonts w:ascii="Times New Roman" w:hAnsi="Times New Roman" w:cs="Times New Roman"/>
          <w:b/>
          <w:bCs/>
          <w:sz w:val="26"/>
          <w:szCs w:val="26"/>
        </w:rPr>
        <w:t>VỚI QUY ĐỊNH PHÁP LUẬT HIỆ</w:t>
      </w:r>
      <w:r w:rsidR="00574C11">
        <w:rPr>
          <w:rFonts w:ascii="Times New Roman" w:hAnsi="Times New Roman" w:cs="Times New Roman"/>
          <w:b/>
          <w:bCs/>
          <w:sz w:val="26"/>
          <w:szCs w:val="26"/>
        </w:rPr>
        <w:t>N HÀNH</w:t>
      </w:r>
    </w:p>
    <w:p w14:paraId="27A2D9E6" w14:textId="5AA7F9C5" w:rsidR="00574C11" w:rsidRDefault="00262612" w:rsidP="00574C11">
      <w:pPr>
        <w:spacing w:after="0" w:line="240" w:lineRule="auto"/>
        <w:jc w:val="center"/>
        <w:rPr>
          <w:rFonts w:ascii="Times New Roman" w:hAnsi="Times New Roman" w:cs="Times New Roman"/>
          <w:b/>
          <w:bCs/>
          <w:sz w:val="26"/>
          <w:szCs w:val="26"/>
        </w:rPr>
      </w:pPr>
      <w:r w:rsidRPr="00574C11">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084463AF" wp14:editId="550F3DF6">
                <wp:simplePos x="0" y="0"/>
                <wp:positionH relativeFrom="margin">
                  <wp:posOffset>3946525</wp:posOffset>
                </wp:positionH>
                <wp:positionV relativeFrom="paragraph">
                  <wp:posOffset>41275</wp:posOffset>
                </wp:positionV>
                <wp:extent cx="1280160" cy="0"/>
                <wp:effectExtent l="0" t="0" r="34290" b="19050"/>
                <wp:wrapNone/>
                <wp:docPr id="4" name="Straight Connector 4"/>
                <wp:cNvGraphicFramePr/>
                <a:graphic xmlns:a="http://schemas.openxmlformats.org/drawingml/2006/main">
                  <a:graphicData uri="http://schemas.microsoft.com/office/word/2010/wordprocessingShape">
                    <wps:wsp>
                      <wps:cNvCnPr/>
                      <wps:spPr>
                        <a:xfrm flipV="1">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A2AE3"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75pt,3.25pt" to="41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" strokecolor="black [3200]" strokeweight=".5pt">
                <v:stroke joinstyle="miter"/>
                <w10:wrap anchorx="margin"/>
              </v:line>
            </w:pict>
          </mc:Fallback>
        </mc:AlternateContent>
      </w:r>
    </w:p>
    <w:p w14:paraId="227E7A5B" w14:textId="77777777" w:rsidR="00574C11" w:rsidRPr="00574C11" w:rsidRDefault="00574C11" w:rsidP="00574C11">
      <w:pPr>
        <w:spacing w:after="0" w:line="240" w:lineRule="auto"/>
        <w:jc w:val="center"/>
        <w:rPr>
          <w:rFonts w:ascii="Times New Roman" w:hAnsi="Times New Roman" w:cs="Times New Roman"/>
          <w:b/>
          <w:bCs/>
          <w:sz w:val="26"/>
          <w:szCs w:val="26"/>
        </w:rPr>
      </w:pPr>
    </w:p>
    <w:tbl>
      <w:tblPr>
        <w:tblOverlap w:val="never"/>
        <w:tblW w:w="53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6377"/>
        <w:gridCol w:w="6380"/>
        <w:gridCol w:w="2834"/>
      </w:tblGrid>
      <w:tr w:rsidR="00C91C45" w:rsidRPr="00C91C45" w14:paraId="7D0D2485" w14:textId="77777777" w:rsidTr="00CC7F2B">
        <w:trPr>
          <w:trHeight w:val="414"/>
          <w:jc w:val="center"/>
        </w:trPr>
        <w:tc>
          <w:tcPr>
            <w:tcW w:w="2045" w:type="pct"/>
            <w:shd w:val="clear" w:color="auto" w:fill="FFFFFF"/>
            <w:vAlign w:val="center"/>
          </w:tcPr>
          <w:p w14:paraId="6F6AA21A" w14:textId="77777777" w:rsidR="00A63E68" w:rsidRDefault="00E33E25" w:rsidP="00CC7F2B">
            <w:pPr>
              <w:spacing w:before="60" w:after="6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QUY PHẠM PHÁP LUẬT HIỆN HÀNH</w:t>
            </w:r>
          </w:p>
          <w:p w14:paraId="15DB03DC" w14:textId="53FCD29B" w:rsidR="00E65EE3" w:rsidRPr="00C91C45" w:rsidRDefault="00E65EE3" w:rsidP="00CC7F2B">
            <w:pPr>
              <w:spacing w:before="60" w:after="6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E65EE3">
              <w:rPr>
                <w:rFonts w:ascii="Times New Roman" w:hAnsi="Times New Roman" w:cs="Times New Roman"/>
                <w:b/>
                <w:bCs/>
                <w:color w:val="000000" w:themeColor="text1"/>
                <w:sz w:val="24"/>
                <w:szCs w:val="24"/>
              </w:rPr>
              <w:t>Nghị định số 116/2025/NĐ-CP ngày 05/6/2025 của Chính phủ</w:t>
            </w:r>
            <w:r>
              <w:rPr>
                <w:rFonts w:ascii="Times New Roman" w:hAnsi="Times New Roman" w:cs="Times New Roman"/>
                <w:b/>
                <w:bCs/>
                <w:color w:val="000000" w:themeColor="text1"/>
                <w:sz w:val="24"/>
                <w:szCs w:val="24"/>
              </w:rPr>
              <w:t xml:space="preserve"> </w:t>
            </w:r>
            <w:r w:rsidRPr="00E65EE3">
              <w:rPr>
                <w:rFonts w:ascii="Times New Roman" w:hAnsi="Times New Roman" w:cs="Times New Roman"/>
                <w:b/>
                <w:bCs/>
                <w:color w:val="000000" w:themeColor="text1"/>
                <w:sz w:val="24"/>
                <w:szCs w:val="24"/>
              </w:rPr>
              <w:t>Quy định về chính sách hỗ trợ khắc phục dịch bệnh động vật</w:t>
            </w:r>
            <w:r>
              <w:rPr>
                <w:rFonts w:ascii="Times New Roman" w:hAnsi="Times New Roman" w:cs="Times New Roman"/>
                <w:b/>
                <w:bCs/>
                <w:color w:val="000000" w:themeColor="text1"/>
                <w:sz w:val="24"/>
                <w:szCs w:val="24"/>
              </w:rPr>
              <w:t>)</w:t>
            </w:r>
          </w:p>
        </w:tc>
        <w:tc>
          <w:tcPr>
            <w:tcW w:w="2046" w:type="pct"/>
            <w:shd w:val="clear" w:color="auto" w:fill="FFFFFF"/>
            <w:vAlign w:val="center"/>
          </w:tcPr>
          <w:p w14:paraId="0E2FC2B3" w14:textId="77777777" w:rsidR="00A63E68" w:rsidRPr="00E63D0C" w:rsidRDefault="00A63E68" w:rsidP="00CC7F2B">
            <w:pPr>
              <w:spacing w:before="60" w:after="60" w:line="240" w:lineRule="auto"/>
              <w:jc w:val="center"/>
              <w:rPr>
                <w:rFonts w:ascii="Times New Roman" w:hAnsi="Times New Roman" w:cs="Times New Roman"/>
                <w:b/>
                <w:bCs/>
                <w:color w:val="000000" w:themeColor="text1"/>
                <w:sz w:val="24"/>
                <w:szCs w:val="24"/>
              </w:rPr>
            </w:pPr>
            <w:r w:rsidRPr="00E63D0C">
              <w:rPr>
                <w:rFonts w:ascii="Times New Roman" w:hAnsi="Times New Roman" w:cs="Times New Roman"/>
                <w:b/>
                <w:bCs/>
                <w:color w:val="000000" w:themeColor="text1"/>
                <w:sz w:val="24"/>
                <w:szCs w:val="24"/>
              </w:rPr>
              <w:t>DỰ THẢO VĂN BẢN</w:t>
            </w:r>
          </w:p>
        </w:tc>
        <w:tc>
          <w:tcPr>
            <w:tcW w:w="909" w:type="pct"/>
            <w:shd w:val="clear" w:color="auto" w:fill="FFFFFF"/>
            <w:vAlign w:val="center"/>
          </w:tcPr>
          <w:p w14:paraId="594D1435" w14:textId="77777777" w:rsidR="00A63E68" w:rsidRPr="00C91C45" w:rsidRDefault="00A63E68" w:rsidP="00CC7F2B">
            <w:pPr>
              <w:spacing w:before="60" w:after="60" w:line="240" w:lineRule="auto"/>
              <w:jc w:val="center"/>
              <w:rPr>
                <w:rFonts w:ascii="Times New Roman" w:hAnsi="Times New Roman" w:cs="Times New Roman"/>
                <w:b/>
                <w:bCs/>
                <w:color w:val="000000" w:themeColor="text1"/>
                <w:sz w:val="24"/>
                <w:szCs w:val="24"/>
              </w:rPr>
            </w:pPr>
            <w:r w:rsidRPr="00C91C45">
              <w:rPr>
                <w:rFonts w:ascii="Times New Roman" w:hAnsi="Times New Roman" w:cs="Times New Roman"/>
                <w:b/>
                <w:bCs/>
                <w:color w:val="000000" w:themeColor="text1"/>
                <w:sz w:val="24"/>
                <w:szCs w:val="24"/>
              </w:rPr>
              <w:t>THUYẾT MINH</w:t>
            </w:r>
          </w:p>
        </w:tc>
      </w:tr>
      <w:tr w:rsidR="00C91C45" w:rsidRPr="00C91C45" w14:paraId="645DB75B" w14:textId="77777777" w:rsidTr="00CC7F2B">
        <w:trPr>
          <w:trHeight w:val="252"/>
          <w:jc w:val="center"/>
        </w:trPr>
        <w:tc>
          <w:tcPr>
            <w:tcW w:w="2045" w:type="pct"/>
            <w:shd w:val="clear" w:color="auto" w:fill="FFFFFF"/>
          </w:tcPr>
          <w:p w14:paraId="01702BEF" w14:textId="77777777" w:rsidR="0031675C" w:rsidRDefault="00E65EE3" w:rsidP="00E63D0C">
            <w:pPr>
              <w:spacing w:before="60" w:after="60" w:line="240" w:lineRule="auto"/>
              <w:ind w:left="121" w:right="12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Điều 1 </w:t>
            </w:r>
          </w:p>
          <w:p w14:paraId="6C2C64A5" w14:textId="524DBACC" w:rsidR="00E65EE3" w:rsidRPr="00E65EE3" w:rsidRDefault="00E65EE3" w:rsidP="00E63D0C">
            <w:pPr>
              <w:spacing w:before="60" w:after="60" w:line="240" w:lineRule="auto"/>
              <w:ind w:left="121" w:right="125"/>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w:t>
            </w:r>
            <w:r w:rsidRPr="00E65EE3">
              <w:rPr>
                <w:rFonts w:ascii="Times New Roman" w:hAnsi="Times New Roman" w:cs="Times New Roman"/>
                <w:b/>
                <w:bCs/>
                <w:i/>
                <w:iCs/>
                <w:color w:val="000000" w:themeColor="text1"/>
                <w:sz w:val="24"/>
                <w:szCs w:val="24"/>
              </w:rPr>
              <w:t>Điều 1. Phạm vi điều chỉnh</w:t>
            </w:r>
            <w:r w:rsidRPr="00E65EE3">
              <w:rPr>
                <w:rFonts w:ascii="Times New Roman" w:hAnsi="Times New Roman" w:cs="Times New Roman"/>
                <w:i/>
                <w:iCs/>
                <w:color w:val="000000" w:themeColor="text1"/>
                <w:sz w:val="24"/>
                <w:szCs w:val="24"/>
              </w:rPr>
              <w:t xml:space="preserve">  </w:t>
            </w:r>
          </w:p>
          <w:p w14:paraId="7E1E07EC" w14:textId="77777777" w:rsidR="00E65EE3" w:rsidRPr="00E65EE3" w:rsidRDefault="00E65EE3" w:rsidP="00E63D0C">
            <w:pPr>
              <w:spacing w:before="60" w:after="60" w:line="240" w:lineRule="auto"/>
              <w:ind w:left="121" w:right="125"/>
              <w:jc w:val="both"/>
              <w:rPr>
                <w:rFonts w:ascii="Times New Roman" w:hAnsi="Times New Roman" w:cs="Times New Roman"/>
                <w:i/>
                <w:iCs/>
                <w:color w:val="000000" w:themeColor="text1"/>
                <w:sz w:val="24"/>
                <w:szCs w:val="24"/>
              </w:rPr>
            </w:pPr>
            <w:r w:rsidRPr="00E65EE3">
              <w:rPr>
                <w:rFonts w:ascii="Times New Roman" w:hAnsi="Times New Roman" w:cs="Times New Roman"/>
                <w:i/>
                <w:iCs/>
                <w:color w:val="000000" w:themeColor="text1"/>
                <w:sz w:val="24"/>
                <w:szCs w:val="24"/>
              </w:rPr>
              <w:t xml:space="preserve">1. Nghị định này quy định các chính sách sau: </w:t>
            </w:r>
          </w:p>
          <w:p w14:paraId="3DDCD83A" w14:textId="003CA418" w:rsidR="00E65EE3" w:rsidRPr="00E65EE3" w:rsidRDefault="00E65EE3" w:rsidP="00E63D0C">
            <w:pPr>
              <w:spacing w:before="60" w:after="60" w:line="240" w:lineRule="auto"/>
              <w:ind w:left="121" w:right="125"/>
              <w:jc w:val="both"/>
              <w:rPr>
                <w:rFonts w:ascii="Times New Roman" w:hAnsi="Times New Roman" w:cs="Times New Roman"/>
                <w:i/>
                <w:iCs/>
                <w:color w:val="000000" w:themeColor="text1"/>
                <w:sz w:val="24"/>
                <w:szCs w:val="24"/>
              </w:rPr>
            </w:pPr>
            <w:r w:rsidRPr="00E65EE3">
              <w:rPr>
                <w:rFonts w:ascii="Times New Roman" w:hAnsi="Times New Roman" w:cs="Times New Roman"/>
                <w:i/>
                <w:iCs/>
                <w:color w:val="000000" w:themeColor="text1"/>
                <w:sz w:val="24"/>
                <w:szCs w:val="24"/>
              </w:rPr>
              <w:t xml:space="preserve">a) Hỗ trợ 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 </w:t>
            </w:r>
          </w:p>
          <w:p w14:paraId="5C600468" w14:textId="77777777" w:rsidR="00E65EE3" w:rsidRPr="00E65EE3" w:rsidRDefault="00E65EE3" w:rsidP="00E63D0C">
            <w:pPr>
              <w:spacing w:before="60" w:after="60" w:line="240" w:lineRule="auto"/>
              <w:ind w:left="121" w:right="125"/>
              <w:jc w:val="both"/>
              <w:rPr>
                <w:rFonts w:ascii="Times New Roman" w:hAnsi="Times New Roman" w:cs="Times New Roman"/>
                <w:i/>
                <w:iCs/>
                <w:color w:val="000000" w:themeColor="text1"/>
                <w:sz w:val="24"/>
                <w:szCs w:val="24"/>
              </w:rPr>
            </w:pPr>
            <w:r w:rsidRPr="00E65EE3">
              <w:rPr>
                <w:rFonts w:ascii="Times New Roman" w:hAnsi="Times New Roman" w:cs="Times New Roman"/>
                <w:i/>
                <w:iCs/>
                <w:color w:val="000000" w:themeColor="text1"/>
                <w:sz w:val="24"/>
                <w:szCs w:val="24"/>
              </w:rPr>
              <w:t xml:space="preserve">b) Hỗ trợ người tham gia khắc phục dịch bệnh động vật. </w:t>
            </w:r>
          </w:p>
          <w:p w14:paraId="7C3EF866" w14:textId="3E4A82B2" w:rsidR="00E65EE3" w:rsidRPr="00E65EE3" w:rsidRDefault="00E65EE3" w:rsidP="00E63D0C">
            <w:pPr>
              <w:spacing w:before="60" w:after="60" w:line="240" w:lineRule="auto"/>
              <w:ind w:left="121" w:right="125"/>
              <w:jc w:val="both"/>
              <w:rPr>
                <w:rFonts w:ascii="Times New Roman" w:hAnsi="Times New Roman" w:cs="Times New Roman"/>
                <w:color w:val="000000" w:themeColor="text1"/>
                <w:sz w:val="24"/>
                <w:szCs w:val="24"/>
              </w:rPr>
            </w:pPr>
            <w:r w:rsidRPr="00E65EE3">
              <w:rPr>
                <w:rFonts w:ascii="Times New Roman" w:hAnsi="Times New Roman" w:cs="Times New Roman"/>
                <w:i/>
                <w:iCs/>
                <w:color w:val="000000" w:themeColor="text1"/>
                <w:sz w:val="24"/>
                <w:szCs w:val="24"/>
              </w:rPr>
              <w:t>2. Các biện pháp phòng, chống dịch bệnh động vật thực hiện theo quy định của pháp luật về chăn nuôi và thú y.</w:t>
            </w:r>
            <w:r>
              <w:rPr>
                <w:rFonts w:ascii="Times New Roman" w:hAnsi="Times New Roman" w:cs="Times New Roman"/>
                <w:color w:val="000000" w:themeColor="text1"/>
                <w:sz w:val="24"/>
                <w:szCs w:val="24"/>
              </w:rPr>
              <w:t>”</w:t>
            </w:r>
          </w:p>
        </w:tc>
        <w:tc>
          <w:tcPr>
            <w:tcW w:w="2046" w:type="pct"/>
            <w:shd w:val="clear" w:color="auto" w:fill="FFFFFF"/>
          </w:tcPr>
          <w:p w14:paraId="6D219442" w14:textId="77777777" w:rsidR="00E33E25" w:rsidRPr="00E33E25" w:rsidRDefault="00E33E25" w:rsidP="00E63D0C">
            <w:pPr>
              <w:pStyle w:val="NormalWeb"/>
              <w:shd w:val="clear" w:color="auto" w:fill="FFFFFF"/>
              <w:spacing w:before="60" w:beforeAutospacing="0" w:after="60" w:afterAutospacing="0"/>
              <w:ind w:left="139" w:right="129"/>
              <w:rPr>
                <w:b/>
                <w:bCs/>
                <w:color w:val="000000" w:themeColor="text1"/>
              </w:rPr>
            </w:pPr>
            <w:r w:rsidRPr="00E33E25">
              <w:rPr>
                <w:b/>
                <w:bCs/>
                <w:color w:val="000000" w:themeColor="text1"/>
              </w:rPr>
              <w:t xml:space="preserve">Điều 1. Phạm vi điều chỉnh </w:t>
            </w:r>
          </w:p>
          <w:p w14:paraId="3C41A854" w14:textId="77777777" w:rsidR="00E33E25" w:rsidRPr="00E33E25" w:rsidRDefault="00E33E25" w:rsidP="00E63D0C">
            <w:pPr>
              <w:pStyle w:val="NormalWeb"/>
              <w:shd w:val="clear" w:color="auto" w:fill="FFFFFF"/>
              <w:spacing w:before="60" w:beforeAutospacing="0" w:after="60" w:afterAutospacing="0"/>
              <w:ind w:left="139" w:right="129"/>
              <w:rPr>
                <w:color w:val="000000" w:themeColor="text1"/>
              </w:rPr>
            </w:pPr>
            <w:r w:rsidRPr="00E33E25">
              <w:rPr>
                <w:color w:val="000000" w:themeColor="text1"/>
              </w:rPr>
              <w:t>Nghị quyết này quy định về mức hỗ trợ đối với cơ sở sản xuất có động vật, sản phẩm động vật buộc phải tiêu hủy do dịch bệnh động vật thuộc Danh mục bệnh động vật phải công bố dịch hoặc Danh mục bệnh truyền lây giữa động vật và người hoặc bệnh do tác nhân gây bệnh truyền nhiễm mới xuất hiện trên lãnh thổ Việt Nam được xác định theo quy định của pháp luật; hỗ trợ người tham gia khắc phục dịch bệnh động vật.</w:t>
            </w:r>
          </w:p>
          <w:p w14:paraId="16CC6B73" w14:textId="3DE37E33" w:rsidR="00AB7273" w:rsidRPr="00C91C45" w:rsidRDefault="00E33E25" w:rsidP="00E63D0C">
            <w:pPr>
              <w:pStyle w:val="NormalWeb"/>
              <w:shd w:val="clear" w:color="auto" w:fill="FFFFFF"/>
              <w:spacing w:before="60" w:beforeAutospacing="0" w:after="60" w:afterAutospacing="0"/>
              <w:ind w:left="139" w:right="129"/>
              <w:rPr>
                <w:b/>
                <w:bCs/>
                <w:color w:val="000000" w:themeColor="text1"/>
              </w:rPr>
            </w:pPr>
            <w:r w:rsidRPr="00E33E25">
              <w:rPr>
                <w:color w:val="000000" w:themeColor="text1"/>
              </w:rPr>
              <w:t>Việc hỗ trợ khắc phục dịch bệnh theo Quy định này chỉ thực hiện đối với cơ sở sản xuất đảm bảo các điều kiện về hoạt động chăn nuôi, thú y, nuôi trồng thủy sản theo quy định của pháp luật.</w:t>
            </w:r>
          </w:p>
        </w:tc>
        <w:tc>
          <w:tcPr>
            <w:tcW w:w="909" w:type="pct"/>
            <w:shd w:val="clear" w:color="auto" w:fill="FFFFFF"/>
            <w:vAlign w:val="center"/>
          </w:tcPr>
          <w:p w14:paraId="0FC3C4B3" w14:textId="365CC07B" w:rsidR="006E5880" w:rsidRPr="00C91C45" w:rsidRDefault="00E65EE3" w:rsidP="00E63D0C">
            <w:pPr>
              <w:spacing w:before="60" w:after="60" w:line="240" w:lineRule="auto"/>
              <w:ind w:left="130" w:right="133"/>
              <w:jc w:val="both"/>
              <w:rPr>
                <w:rFonts w:ascii="Times New Roman" w:hAnsi="Times New Roman" w:cs="Times New Roman"/>
                <w:color w:val="000000" w:themeColor="text1"/>
                <w:sz w:val="24"/>
                <w:szCs w:val="24"/>
                <w:shd w:val="solid" w:color="FFFFFF" w:fill="auto"/>
              </w:rPr>
            </w:pPr>
            <w:r w:rsidRPr="00E65EE3">
              <w:rPr>
                <w:rFonts w:ascii="Times New Roman" w:hAnsi="Times New Roman" w:cs="Times New Roman"/>
                <w:color w:val="000000" w:themeColor="text1"/>
                <w:sz w:val="24"/>
                <w:szCs w:val="24"/>
                <w:shd w:val="solid" w:color="FFFFFF" w:fill="auto"/>
              </w:rPr>
              <w:t>Phạm vi điều chỉnh của dự thảo Nghị quyết phù hợp với quy định tại Điều 1 Nghị định số 116/2025/NĐ-CP ngày 05/6/2025 của Chính phủ.</w:t>
            </w:r>
          </w:p>
        </w:tc>
      </w:tr>
      <w:tr w:rsidR="00C91C45" w:rsidRPr="00E33E25" w14:paraId="59230363" w14:textId="77777777" w:rsidTr="00CC7F2B">
        <w:trPr>
          <w:trHeight w:val="20"/>
          <w:jc w:val="center"/>
        </w:trPr>
        <w:tc>
          <w:tcPr>
            <w:tcW w:w="2045" w:type="pct"/>
            <w:shd w:val="clear" w:color="auto" w:fill="FFFFFF"/>
          </w:tcPr>
          <w:p w14:paraId="71C2AAF0" w14:textId="252862CC" w:rsidR="0031675C" w:rsidRDefault="0031675C" w:rsidP="00E63D0C">
            <w:pPr>
              <w:spacing w:before="60" w:after="60" w:line="240" w:lineRule="auto"/>
              <w:ind w:left="121" w:right="12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Điều 2, khoản 1 và 2 Điều 3 </w:t>
            </w:r>
          </w:p>
          <w:p w14:paraId="5424A948" w14:textId="3F308119" w:rsidR="0031675C" w:rsidRPr="0031675C" w:rsidRDefault="0031675C" w:rsidP="00E63D0C">
            <w:pPr>
              <w:spacing w:before="60" w:after="60" w:line="240" w:lineRule="auto"/>
              <w:ind w:left="121" w:right="125"/>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w:t>
            </w:r>
            <w:r w:rsidRPr="0031675C">
              <w:rPr>
                <w:rFonts w:ascii="Times New Roman" w:hAnsi="Times New Roman" w:cs="Times New Roman"/>
                <w:b/>
                <w:bCs/>
                <w:i/>
                <w:iCs/>
                <w:color w:val="000000" w:themeColor="text1"/>
                <w:sz w:val="24"/>
                <w:szCs w:val="24"/>
              </w:rPr>
              <w:t xml:space="preserve">Điều 2. Đối tượng áp dụng </w:t>
            </w:r>
          </w:p>
          <w:p w14:paraId="1D7EFECF" w14:textId="77777777"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Nghị định này áp dụng đối với: </w:t>
            </w:r>
          </w:p>
          <w:p w14:paraId="2C0201E6" w14:textId="77777777"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1. Cơ sở sản xuất quy định tại khoản 1 Điều 3 Nghị định này.</w:t>
            </w:r>
          </w:p>
          <w:p w14:paraId="640F9EF5" w14:textId="77777777"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2. Người tham gia khắc phục dịch bệnh động vật quy định tại khoản 2 Điều 3 Nghị định này. </w:t>
            </w:r>
          </w:p>
          <w:p w14:paraId="6F4EBDC7" w14:textId="1DBA4ED6" w:rsidR="002D3BCE"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i/>
                <w:iCs/>
                <w:color w:val="000000" w:themeColor="text1"/>
                <w:sz w:val="24"/>
                <w:szCs w:val="24"/>
              </w:rPr>
              <w:lastRenderedPageBreak/>
              <w:t>3. Cơ quan, đơn vị, tổ chức, cá nhân có liên quan trong việc tổ chức thực hiện Nghị định này.</w:t>
            </w:r>
            <w:r>
              <w:rPr>
                <w:rFonts w:ascii="Times New Roman" w:hAnsi="Times New Roman" w:cs="Times New Roman"/>
                <w:color w:val="000000" w:themeColor="text1"/>
                <w:sz w:val="24"/>
                <w:szCs w:val="24"/>
              </w:rPr>
              <w:t>”</w:t>
            </w:r>
          </w:p>
          <w:p w14:paraId="3155F862" w14:textId="2C480D17" w:rsidR="0031675C" w:rsidRPr="0031675C" w:rsidRDefault="0031675C" w:rsidP="00E63D0C">
            <w:pPr>
              <w:spacing w:before="60" w:after="60" w:line="240" w:lineRule="auto"/>
              <w:ind w:left="121" w:right="125"/>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w:t>
            </w:r>
            <w:r w:rsidRPr="0031675C">
              <w:rPr>
                <w:rFonts w:ascii="Times New Roman" w:hAnsi="Times New Roman" w:cs="Times New Roman"/>
                <w:b/>
                <w:bCs/>
                <w:i/>
                <w:iCs/>
                <w:color w:val="000000" w:themeColor="text1"/>
                <w:sz w:val="24"/>
                <w:szCs w:val="24"/>
              </w:rPr>
              <w:t xml:space="preserve">Điều 3. Giải thích từ ngữ </w:t>
            </w:r>
          </w:p>
          <w:p w14:paraId="57F5CAB5" w14:textId="77777777"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1. Cơ sở sản xuất là cá nhân, hộ gia đình, tổ hợp tác, hợp tác xã, liên hiệp hợp tác xã, các cơ quan, đơn vị thuộc lực lượng vũ trang nhân dân (không bao gồm các doanh nghiệp thuộc lực lượng vũ trang) có hoạt động chăn nuôi, nuôi trồng thủy sản, sản xuất, ương dưỡng giống thủy sản.</w:t>
            </w:r>
          </w:p>
          <w:p w14:paraId="21527D15" w14:textId="295E42A4"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2. Người tham gia khắc phục dịch bệnh động vật là người trực tiếp tham gia nhiệm vụ phòng, chống một hoặc một số bệnh động vật quy định tại khoản 1 Điều 1 Nghị định này theo phân công, huy động của cơ quan, đơn vị có thẩm quyền trên cơ sở tính chất, quy mô dịch bệnh để thực hiện một hoặc nhiều hoạt động sau đây:  </w:t>
            </w:r>
          </w:p>
          <w:p w14:paraId="749554FC" w14:textId="77777777"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a) Thống kê; xác nhận thiệt hại do dịch bệnh động vật;  </w:t>
            </w:r>
          </w:p>
          <w:p w14:paraId="382250F7" w14:textId="55BEE41F"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b) Xử lý ổ dịch; lấy mẫu; mổ khám, chẩn đoán, xét nghiệm bệnh động vật; điều tra, xác minh dịch bệnh động vật; bắt, giữ, vận chuyển, tiêu hủy động vật, sản phẩm động vật;  </w:t>
            </w:r>
          </w:p>
          <w:p w14:paraId="7CB83891" w14:textId="17424BB0" w:rsidR="0031675C" w:rsidRPr="0031675C" w:rsidRDefault="0031675C" w:rsidP="00E63D0C">
            <w:pPr>
              <w:spacing w:before="60" w:after="60" w:line="240" w:lineRule="auto"/>
              <w:ind w:left="121" w:right="125"/>
              <w:jc w:val="both"/>
              <w:rPr>
                <w:rFonts w:ascii="Times New Roman" w:hAnsi="Times New Roman" w:cs="Times New Roman"/>
                <w:i/>
                <w:iCs/>
                <w:color w:val="000000" w:themeColor="text1"/>
                <w:sz w:val="24"/>
                <w:szCs w:val="24"/>
              </w:rPr>
            </w:pPr>
            <w:r w:rsidRPr="0031675C">
              <w:rPr>
                <w:rFonts w:ascii="Times New Roman" w:hAnsi="Times New Roman" w:cs="Times New Roman"/>
                <w:i/>
                <w:iCs/>
                <w:color w:val="000000" w:themeColor="text1"/>
                <w:sz w:val="24"/>
                <w:szCs w:val="24"/>
              </w:rPr>
              <w:t xml:space="preserve">c) Tiêm phòng, vệ sinh, tiêu độc, khử trùng để phòng, chống dịch bệnh động vật; </w:t>
            </w:r>
          </w:p>
          <w:p w14:paraId="7A4FFDF7" w14:textId="5854043E"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i/>
                <w:iCs/>
                <w:color w:val="000000" w:themeColor="text1"/>
                <w:sz w:val="24"/>
                <w:szCs w:val="24"/>
              </w:rPr>
              <w:t>d) Trực tổ, chốt, trạm để kiểm soát dịch bệnh động vật.</w:t>
            </w:r>
            <w:r>
              <w:rPr>
                <w:rFonts w:ascii="Times New Roman" w:hAnsi="Times New Roman" w:cs="Times New Roman"/>
                <w:color w:val="000000" w:themeColor="text1"/>
                <w:sz w:val="24"/>
                <w:szCs w:val="24"/>
              </w:rPr>
              <w:t>”</w:t>
            </w:r>
          </w:p>
        </w:tc>
        <w:tc>
          <w:tcPr>
            <w:tcW w:w="2046" w:type="pct"/>
            <w:shd w:val="clear" w:color="auto" w:fill="FFFFFF"/>
          </w:tcPr>
          <w:p w14:paraId="2A185582" w14:textId="77777777" w:rsidR="00E33E25" w:rsidRPr="00E33E25" w:rsidRDefault="00E33E25" w:rsidP="00E63D0C">
            <w:pPr>
              <w:pStyle w:val="NormalWeb"/>
              <w:shd w:val="clear" w:color="auto" w:fill="FFFFFF"/>
              <w:spacing w:before="60" w:beforeAutospacing="0" w:after="60" w:afterAutospacing="0"/>
              <w:ind w:left="139" w:right="129"/>
              <w:rPr>
                <w:b/>
                <w:bCs/>
                <w:color w:val="000000" w:themeColor="text1"/>
                <w:lang w:val="vi-VN"/>
              </w:rPr>
            </w:pPr>
            <w:r w:rsidRPr="00E33E25">
              <w:rPr>
                <w:b/>
                <w:bCs/>
                <w:color w:val="000000" w:themeColor="text1"/>
                <w:lang w:val="vi-VN"/>
              </w:rPr>
              <w:lastRenderedPageBreak/>
              <w:t>Điều 2. Đối tượng áp dụng</w:t>
            </w:r>
          </w:p>
          <w:p w14:paraId="667C5F3F" w14:textId="77777777" w:rsidR="007311BA" w:rsidRDefault="00E33E25" w:rsidP="00E63D0C">
            <w:pPr>
              <w:pStyle w:val="NormalWeb"/>
              <w:shd w:val="clear" w:color="auto" w:fill="FFFFFF"/>
              <w:spacing w:before="60" w:beforeAutospacing="0" w:after="60" w:afterAutospacing="0"/>
              <w:ind w:left="139" w:right="129"/>
              <w:rPr>
                <w:color w:val="000000" w:themeColor="text1"/>
              </w:rPr>
            </w:pPr>
            <w:r w:rsidRPr="00E33E25">
              <w:rPr>
                <w:color w:val="000000" w:themeColor="text1"/>
                <w:lang w:val="vi-VN"/>
              </w:rPr>
              <w:t>1. Cơ sở sản xuất là cá nhân, hộ gia đình, tổ hợp tác, hợp tác xã, liên hiệp hợp tác xã, các cơ quan, đơn vị thuộc lực lượng vũ trang nhân dân (không bao gồm các doanh nghiệp thuộc lực lượng vũ trang), các doanh nghiệp nhỏ và vừa có hoạt động chăn nuôi, nuôi trồng thủy sản, sản xuất, ương dưỡng giống thủy sản trên địa bàn tỉnh An Giang.</w:t>
            </w:r>
          </w:p>
          <w:p w14:paraId="30860AD0" w14:textId="77777777" w:rsidR="00E33E25" w:rsidRPr="00E33E25" w:rsidRDefault="00E33E25" w:rsidP="00E63D0C">
            <w:pPr>
              <w:pStyle w:val="NormalWeb"/>
              <w:shd w:val="clear" w:color="auto" w:fill="FFFFFF"/>
              <w:spacing w:before="60" w:beforeAutospacing="0" w:after="60" w:afterAutospacing="0"/>
              <w:ind w:left="139" w:right="129"/>
              <w:rPr>
                <w:color w:val="000000" w:themeColor="text1"/>
              </w:rPr>
            </w:pPr>
            <w:r w:rsidRPr="00E33E25">
              <w:rPr>
                <w:color w:val="000000" w:themeColor="text1"/>
              </w:rPr>
              <w:lastRenderedPageBreak/>
              <w:t>2. Người tham gia khắc phục dịch bệnh động vật là người trực tiếp tham gia nhiệm vụ phòng, chống một hoặc một số bệnh động vật theo phân công, huy động của cơ quan, đơn vị có thẩm quyền trên cơ sở tính chất, quy mô dịch bệnh để thực hiện một hoặc nhiều hoạt động: Thống kê; xác nhận thiệt hại do dịch bệnh động vật; xử lý ổ dịch; lấy mẫu; mổ khám, chẩn đoán, xét nghiệm bệnh động vật; điều tra, xác minh dịch bệnh động vật; bắt, giữ, vận chuyển, tiêu hủy động vật, sản phẩm động vật; tiêm phòng, vệ sinh, tiêu độc, khử trùng để phòng, chống dịch bệnh động vật; trực tổ, chốt, trạm để kiểm soát dịch bệnh động vật.</w:t>
            </w:r>
          </w:p>
          <w:p w14:paraId="69CED9C0" w14:textId="429C87F7" w:rsidR="00E33E25" w:rsidRPr="00E33E25" w:rsidRDefault="00E33E25" w:rsidP="00E63D0C">
            <w:pPr>
              <w:pStyle w:val="NormalWeb"/>
              <w:shd w:val="clear" w:color="auto" w:fill="FFFFFF"/>
              <w:spacing w:before="60" w:beforeAutospacing="0" w:after="60" w:afterAutospacing="0"/>
              <w:ind w:left="139" w:right="129"/>
              <w:rPr>
                <w:color w:val="000000" w:themeColor="text1"/>
              </w:rPr>
            </w:pPr>
            <w:r w:rsidRPr="00E33E25">
              <w:rPr>
                <w:color w:val="000000" w:themeColor="text1"/>
              </w:rPr>
              <w:t>3. Cơ quan, đơn vị, tổ chức, cá nhân có liên quan trong việc tổ chức thực</w:t>
            </w:r>
            <w:r>
              <w:rPr>
                <w:color w:val="000000" w:themeColor="text1"/>
              </w:rPr>
              <w:t xml:space="preserve"> </w:t>
            </w:r>
            <w:r w:rsidRPr="00E33E25">
              <w:rPr>
                <w:color w:val="000000" w:themeColor="text1"/>
              </w:rPr>
              <w:t>hiện Nghị quyết này trên địa bàn tỉnh An Giang.</w:t>
            </w:r>
          </w:p>
        </w:tc>
        <w:tc>
          <w:tcPr>
            <w:tcW w:w="909" w:type="pct"/>
            <w:shd w:val="clear" w:color="auto" w:fill="FFFFFF"/>
            <w:vAlign w:val="center"/>
          </w:tcPr>
          <w:p w14:paraId="3F847FAE" w14:textId="028A84EC" w:rsidR="00A63E68" w:rsidRPr="0031675C" w:rsidRDefault="00E65EE3" w:rsidP="00E63D0C">
            <w:pPr>
              <w:spacing w:before="60" w:after="60" w:line="240" w:lineRule="auto"/>
              <w:ind w:left="130" w:right="133"/>
              <w:jc w:val="both"/>
              <w:rPr>
                <w:rFonts w:ascii="Times New Roman" w:hAnsi="Times New Roman" w:cs="Times New Roman"/>
                <w:color w:val="000000" w:themeColor="text1"/>
                <w:sz w:val="24"/>
                <w:szCs w:val="24"/>
              </w:rPr>
            </w:pPr>
            <w:r w:rsidRPr="00E65EE3">
              <w:rPr>
                <w:rFonts w:ascii="Times New Roman" w:hAnsi="Times New Roman" w:cs="Times New Roman"/>
                <w:color w:val="000000" w:themeColor="text1"/>
                <w:sz w:val="24"/>
                <w:szCs w:val="24"/>
              </w:rPr>
              <w:lastRenderedPageBreak/>
              <w:t xml:space="preserve">Đối tượng áp dụng của dự thảo Nghị quyết phù hợp với quy định tại Điều 2, Điều 3 và điểm c khoản 3 Điều 12 Nghị định số 116/2025/NĐ-CP ngày 05/6/2025 của Chính phủ </w:t>
            </w:r>
            <w:r w:rsidRPr="00E65EE3">
              <w:rPr>
                <w:rFonts w:ascii="Times New Roman" w:hAnsi="Times New Roman" w:cs="Times New Roman"/>
                <w:color w:val="000000" w:themeColor="text1"/>
                <w:sz w:val="24"/>
                <w:szCs w:val="24"/>
              </w:rPr>
              <w:lastRenderedPageBreak/>
              <w:t>và đã bao gồm các đối tượng được áp dụng chính sách trên địa bàn tỉnh. Đồng thời mở rộng thêm các đối tượng như: các cơ quan, đơn vị thuộc lực lượng vũ trang nhân dân (không bao gồm các doanh nghiệp thuộc lực lượng vũ trang), các doanh nghiệp nhỏ và vừa có hoạt động có hoạt động chăn nuôi, nuôi trồng thủy sản, sản xuất, ương dưỡng giống thủy sản</w:t>
            </w:r>
            <w:r>
              <w:rPr>
                <w:rFonts w:ascii="Times New Roman" w:hAnsi="Times New Roman" w:cs="Times New Roman"/>
                <w:color w:val="000000" w:themeColor="text1"/>
                <w:sz w:val="24"/>
                <w:szCs w:val="24"/>
              </w:rPr>
              <w:t>.</w:t>
            </w:r>
          </w:p>
        </w:tc>
      </w:tr>
      <w:tr w:rsidR="00C91C45" w:rsidRPr="00397D3F" w14:paraId="615B76F3" w14:textId="77777777" w:rsidTr="00CC7F2B">
        <w:trPr>
          <w:trHeight w:val="20"/>
          <w:jc w:val="center"/>
        </w:trPr>
        <w:tc>
          <w:tcPr>
            <w:tcW w:w="2045" w:type="pct"/>
            <w:shd w:val="clear" w:color="auto" w:fill="FFFFFF"/>
          </w:tcPr>
          <w:p w14:paraId="081123A8" w14:textId="77777777" w:rsidR="00142A9C" w:rsidRPr="0031675C" w:rsidRDefault="0031675C" w:rsidP="00E63D0C">
            <w:pPr>
              <w:spacing w:before="60" w:after="60" w:line="240" w:lineRule="auto"/>
              <w:ind w:left="121" w:right="125"/>
              <w:rPr>
                <w:rFonts w:ascii="Times New Roman" w:hAnsi="Times New Roman" w:cs="Times New Roman"/>
                <w:b/>
                <w:bCs/>
                <w:color w:val="000000" w:themeColor="text1"/>
                <w:sz w:val="24"/>
                <w:szCs w:val="24"/>
              </w:rPr>
            </w:pPr>
            <w:r w:rsidRPr="0031675C">
              <w:rPr>
                <w:rFonts w:ascii="Times New Roman" w:hAnsi="Times New Roman" w:cs="Times New Roman"/>
                <w:b/>
                <w:bCs/>
                <w:color w:val="000000" w:themeColor="text1"/>
                <w:sz w:val="24"/>
                <w:szCs w:val="24"/>
                <w:lang w:val="vi-VN"/>
              </w:rPr>
              <w:lastRenderedPageBreak/>
              <w:t>Điều 5 Nghị định số 116/2025/NĐ-CP ngày 05 tháng 6 năm 2025 của Chính phủ</w:t>
            </w:r>
          </w:p>
          <w:p w14:paraId="7BF1B981" w14:textId="5BF6ED74"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1675C">
              <w:rPr>
                <w:rFonts w:ascii="Times New Roman" w:hAnsi="Times New Roman" w:cs="Times New Roman"/>
                <w:color w:val="000000" w:themeColor="text1"/>
                <w:sz w:val="24"/>
                <w:szCs w:val="24"/>
              </w:rPr>
              <w:t xml:space="preserve">Điều 5. Điều kiện hỗ trợ </w:t>
            </w:r>
          </w:p>
          <w:p w14:paraId="2A99A3E2" w14:textId="583491B2"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color w:val="000000" w:themeColor="text1"/>
                <w:sz w:val="24"/>
                <w:szCs w:val="24"/>
              </w:rPr>
              <w:t xml:space="preserve">1. Cơ sở sản xuất có động vật, sản phẩm động vật buộc phải tiêu hủy do dịch bệnh động vật theo quy định tại khoản 1 Điều 1 Nghị định này và thuộc một trong các trường hợp sau: </w:t>
            </w:r>
          </w:p>
          <w:p w14:paraId="4C842EB1" w14:textId="568A168E"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color w:val="000000" w:themeColor="text1"/>
                <w:sz w:val="24"/>
                <w:szCs w:val="24"/>
              </w:rPr>
              <w:t xml:space="preserve">a) Đối với trường hợp đã công bố dịch bệnh: Có động vật, sản phẩm động vật buộc phải tiêu hủy theo quy định của pháp luật trong vùng có dịch, vùng bị dịch uy hiếp, vùng đệm; </w:t>
            </w:r>
          </w:p>
          <w:p w14:paraId="502714B3" w14:textId="061E2FEC"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color w:val="000000" w:themeColor="text1"/>
                <w:sz w:val="24"/>
                <w:szCs w:val="24"/>
              </w:rPr>
              <w:t>b) Đối với trường hợp chưa đủ điều kiện công bố dịch bệnh: Có động</w:t>
            </w:r>
            <w:r w:rsidR="008E4C8F">
              <w:rPr>
                <w:rFonts w:ascii="Times New Roman" w:hAnsi="Times New Roman" w:cs="Times New Roman"/>
                <w:color w:val="000000" w:themeColor="text1"/>
                <w:sz w:val="24"/>
                <w:szCs w:val="24"/>
              </w:rPr>
              <w:t xml:space="preserve"> </w:t>
            </w:r>
            <w:r w:rsidRPr="0031675C">
              <w:rPr>
                <w:rFonts w:ascii="Times New Roman" w:hAnsi="Times New Roman" w:cs="Times New Roman"/>
                <w:color w:val="000000" w:themeColor="text1"/>
                <w:sz w:val="24"/>
                <w:szCs w:val="24"/>
              </w:rPr>
              <w:t xml:space="preserve">vật, sản phẩm động vật tại ổ dịch đầu tiên có kết quả xét </w:t>
            </w:r>
            <w:r w:rsidRPr="0031675C">
              <w:rPr>
                <w:rFonts w:ascii="Times New Roman" w:hAnsi="Times New Roman" w:cs="Times New Roman"/>
                <w:color w:val="000000" w:themeColor="text1"/>
                <w:sz w:val="24"/>
                <w:szCs w:val="24"/>
              </w:rPr>
              <w:lastRenderedPageBreak/>
              <w:t>nghiệm dương tính với bệnh thuộc Danh mục bệnh động vật phải công bố dịch hoặc Danh mục bệnh truyền lây giữa động vật và người hoặc động vật tại ổ dịch tiếp theo trên cùng địa bàn cấp xã (theo quy định của pháp luật về tổ chức chính</w:t>
            </w:r>
            <w:r w:rsidR="008E4C8F">
              <w:rPr>
                <w:rFonts w:ascii="Times New Roman" w:hAnsi="Times New Roman" w:cs="Times New Roman"/>
                <w:color w:val="000000" w:themeColor="text1"/>
                <w:sz w:val="24"/>
                <w:szCs w:val="24"/>
              </w:rPr>
              <w:t xml:space="preserve"> </w:t>
            </w:r>
            <w:r w:rsidRPr="0031675C">
              <w:rPr>
                <w:rFonts w:ascii="Times New Roman" w:hAnsi="Times New Roman" w:cs="Times New Roman"/>
                <w:color w:val="000000" w:themeColor="text1"/>
                <w:sz w:val="24"/>
                <w:szCs w:val="24"/>
              </w:rPr>
              <w:t xml:space="preserve">quyền địa phương) được Cơ quan có thẩm quyền kết luận mắc bệnh, có dấu hiệu mắc bệnh đối với bệnh đã có kết quả xét nghiệm dương tính tại ổ dịch đầu tiên;  </w:t>
            </w:r>
          </w:p>
          <w:p w14:paraId="636AF6AE" w14:textId="441786B0"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color w:val="000000" w:themeColor="text1"/>
                <w:sz w:val="24"/>
                <w:szCs w:val="24"/>
              </w:rPr>
              <w:t xml:space="preserve">c) Đối với trường hợp bệnh mới xuất hiện trên lãnh thổ Việt Nam nhưng chưa đủ điều kiện công bố dịch bệnh: Có văn bản của Cơ quan có thẩm quyền theo quy định của pháp luật về thú y xác nhận tác nhân gây bệnh truyền nhiễm mới. </w:t>
            </w:r>
          </w:p>
          <w:p w14:paraId="2F45CA40" w14:textId="611B9BBD" w:rsidR="0031675C" w:rsidRPr="0031675C" w:rsidRDefault="0031675C" w:rsidP="00E63D0C">
            <w:pPr>
              <w:spacing w:before="60" w:after="60" w:line="240" w:lineRule="auto"/>
              <w:ind w:left="121" w:right="125"/>
              <w:jc w:val="both"/>
              <w:rPr>
                <w:rFonts w:ascii="Times New Roman" w:hAnsi="Times New Roman" w:cs="Times New Roman"/>
                <w:color w:val="000000" w:themeColor="text1"/>
                <w:sz w:val="24"/>
                <w:szCs w:val="24"/>
              </w:rPr>
            </w:pPr>
            <w:r w:rsidRPr="0031675C">
              <w:rPr>
                <w:rFonts w:ascii="Times New Roman" w:hAnsi="Times New Roman" w:cs="Times New Roman"/>
                <w:color w:val="000000" w:themeColor="text1"/>
                <w:sz w:val="24"/>
                <w:szCs w:val="24"/>
              </w:rPr>
              <w:t>2. Người tham gia khắc phục dịch bệnh động vật phải được cơ quan, đơn vị nhà nước có thẩm quyền phân công hoặc huy động bằng văn bản.</w:t>
            </w:r>
            <w:r w:rsidR="008E4C8F">
              <w:rPr>
                <w:rFonts w:ascii="Times New Roman" w:hAnsi="Times New Roman" w:cs="Times New Roman"/>
                <w:color w:val="000000" w:themeColor="text1"/>
                <w:sz w:val="24"/>
                <w:szCs w:val="24"/>
              </w:rPr>
              <w:t>”</w:t>
            </w:r>
          </w:p>
        </w:tc>
        <w:tc>
          <w:tcPr>
            <w:tcW w:w="2046" w:type="pct"/>
            <w:shd w:val="clear" w:color="auto" w:fill="FFFFFF"/>
          </w:tcPr>
          <w:p w14:paraId="26B0699A" w14:textId="77777777" w:rsidR="002D3BCE"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lastRenderedPageBreak/>
              <w:t>Khoản 1 Điều 3. Điều kiện và mức hỗ trợ</w:t>
            </w:r>
          </w:p>
          <w:p w14:paraId="1EB9D26B"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1. Điều kiện hỗ trợ</w:t>
            </w:r>
          </w:p>
          <w:p w14:paraId="236CD890" w14:textId="59CA145B"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Thực hiện theo quy định tại Điều 5 Chương II Nghị định số 116/2025/NĐ-CP ngày 05/6/2025.</w:t>
            </w:r>
          </w:p>
        </w:tc>
        <w:tc>
          <w:tcPr>
            <w:tcW w:w="909" w:type="pct"/>
            <w:shd w:val="clear" w:color="auto" w:fill="FFFFFF"/>
            <w:vAlign w:val="center"/>
          </w:tcPr>
          <w:p w14:paraId="21BCC197" w14:textId="07852DE3" w:rsidR="00B139A1" w:rsidRPr="00E33E25" w:rsidRDefault="00E65EE3"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E65EE3">
              <w:rPr>
                <w:rFonts w:ascii="Times New Roman" w:hAnsi="Times New Roman" w:cs="Times New Roman"/>
                <w:color w:val="000000" w:themeColor="text1"/>
                <w:sz w:val="24"/>
                <w:szCs w:val="24"/>
                <w:lang w:val="vi-VN"/>
              </w:rPr>
              <w:t>Thực hiện theo quy định tại Điều 5 Chương II Nghị định số 116/2025/NĐ-CP ngày 05/6/2025.</w:t>
            </w:r>
          </w:p>
        </w:tc>
      </w:tr>
      <w:tr w:rsidR="00664624" w:rsidRPr="00397D3F" w14:paraId="0FDC76C4" w14:textId="77777777" w:rsidTr="00CC7F2B">
        <w:trPr>
          <w:trHeight w:val="20"/>
          <w:jc w:val="center"/>
        </w:trPr>
        <w:tc>
          <w:tcPr>
            <w:tcW w:w="2045" w:type="pct"/>
            <w:shd w:val="clear" w:color="auto" w:fill="FFFFFF"/>
          </w:tcPr>
          <w:p w14:paraId="52B3B6F3" w14:textId="427BD964" w:rsidR="00664624" w:rsidRPr="00F63C1C" w:rsidRDefault="00F63C1C" w:rsidP="00E63D0C">
            <w:pPr>
              <w:spacing w:before="60" w:after="60" w:line="240" w:lineRule="auto"/>
              <w:ind w:left="121" w:right="125"/>
              <w:rPr>
                <w:rFonts w:ascii="Times New Roman" w:hAnsi="Times New Roman" w:cs="Times New Roman"/>
                <w:b/>
                <w:bCs/>
                <w:color w:val="000000" w:themeColor="text1"/>
                <w:sz w:val="24"/>
                <w:szCs w:val="24"/>
                <w:lang w:val="vi-VN"/>
              </w:rPr>
            </w:pPr>
            <w:r w:rsidRPr="00F63C1C">
              <w:rPr>
                <w:rFonts w:ascii="Times New Roman" w:hAnsi="Times New Roman" w:cs="Times New Roman"/>
                <w:b/>
                <w:bCs/>
                <w:color w:val="000000" w:themeColor="text1"/>
                <w:sz w:val="24"/>
                <w:szCs w:val="24"/>
                <w:lang w:val="vi-VN"/>
              </w:rPr>
              <w:t>Khoản 1, khoản 2 Điều 6</w:t>
            </w:r>
          </w:p>
          <w:p w14:paraId="2AC1D8E2" w14:textId="37CA8D8E" w:rsidR="00F63C1C" w:rsidRPr="00A3099B" w:rsidRDefault="00F63C1C" w:rsidP="00E63D0C">
            <w:pPr>
              <w:spacing w:before="60" w:after="60" w:line="240" w:lineRule="auto"/>
              <w:ind w:left="121" w:right="125"/>
              <w:jc w:val="both"/>
              <w:rPr>
                <w:rFonts w:ascii="Times New Roman" w:hAnsi="Times New Roman" w:cs="Times New Roman"/>
                <w:b/>
                <w:bCs/>
                <w:i/>
                <w:iCs/>
                <w:color w:val="000000" w:themeColor="text1"/>
                <w:sz w:val="24"/>
                <w:szCs w:val="24"/>
                <w:lang w:val="vi-VN"/>
              </w:rPr>
            </w:pPr>
            <w:r w:rsidRPr="00F63C1C">
              <w:rPr>
                <w:rFonts w:ascii="Times New Roman" w:hAnsi="Times New Roman" w:cs="Times New Roman"/>
                <w:b/>
                <w:bCs/>
                <w:i/>
                <w:iCs/>
                <w:color w:val="000000" w:themeColor="text1"/>
                <w:sz w:val="24"/>
                <w:szCs w:val="24"/>
                <w:lang w:val="vi-VN"/>
              </w:rPr>
              <w:t xml:space="preserve">“Điều 6. </w:t>
            </w:r>
            <w:r w:rsidRPr="00A3099B">
              <w:rPr>
                <w:rFonts w:ascii="Times New Roman" w:hAnsi="Times New Roman" w:cs="Times New Roman"/>
                <w:b/>
                <w:bCs/>
                <w:i/>
                <w:iCs/>
                <w:color w:val="000000" w:themeColor="text1"/>
                <w:sz w:val="24"/>
                <w:szCs w:val="24"/>
                <w:lang w:val="vi-VN"/>
              </w:rPr>
              <w:t xml:space="preserve">Mức hỗ trợ đối với cơ sở sản xuất  </w:t>
            </w:r>
          </w:p>
          <w:p w14:paraId="69AA30B0"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1. Đối với cơ sở sản xuất động vật trên cạn: </w:t>
            </w:r>
          </w:p>
          <w:p w14:paraId="411AC0EE" w14:textId="050C31C0"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a) Trâu, bò, ngựa, dê: 50.000 đồng/kg hơi;  </w:t>
            </w:r>
          </w:p>
          <w:p w14:paraId="3A684101"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Cừu, hươu sao: 55.000 đồng/kg hơi;  </w:t>
            </w:r>
          </w:p>
          <w:p w14:paraId="4C929556"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c) Lợn: 40.000 đồng/kg hơi; </w:t>
            </w:r>
          </w:p>
          <w:p w14:paraId="2E77D325"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d) Gà, vịt, ngan, ngỗng, bồ câu: 35.000 đồng/kg hơi;  </w:t>
            </w:r>
          </w:p>
          <w:p w14:paraId="45EBF02F"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đ) Chim cút: 20.000 đồng/kg hơi; </w:t>
            </w:r>
          </w:p>
          <w:p w14:paraId="076A0854"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e) Đà điểu: 50.000 đồng/kg hơi; </w:t>
            </w:r>
          </w:p>
          <w:p w14:paraId="3A92B6BF"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g) Trứng gia cầm (gà, vịt, ngan, ngỗng, bồ câu, chim cút, đà điểu): 20.000 đồng/kg.</w:t>
            </w:r>
          </w:p>
          <w:p w14:paraId="41CB8F2B"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2. Đối với cơ sở sản xuất động vật thủy sản: </w:t>
            </w:r>
          </w:p>
          <w:p w14:paraId="39404D85"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a) Tôm hùm giống: 10.000 đồng/con;  </w:t>
            </w:r>
          </w:p>
          <w:p w14:paraId="34B5D98C" w14:textId="0CD1DFF8"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Tôm giống (tôm thẻ chân trắng, tôm sú) từ giai đoạn hậu ấu trùng Postlarvae 12 trở lên: 10.000.000 đồng/01 triệu con; </w:t>
            </w:r>
          </w:p>
          <w:p w14:paraId="04F79FF2" w14:textId="6A89E1D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lastRenderedPageBreak/>
              <w:t xml:space="preserve">c) Cá giống (cá biển, cá tra, cá truyền thống, cá rô phi, cá nước lạnh): 10.000 đồng/kg;   </w:t>
            </w:r>
          </w:p>
          <w:p w14:paraId="1B0A8139" w14:textId="46A9F083"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d) Diện tích nuôi tôm sú quảng canh (nuôi tôm lúa, tôm sinh thái, tôm rừng, tôm kết hợp): 9.000.000 đồng/ha;  </w:t>
            </w:r>
          </w:p>
          <w:p w14:paraId="56E88FD0" w14:textId="007CB1A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đ) Diện tích nuôi tôm sú (bán thâm canh, thâm canh): 12.000.000 đồng/ha;  </w:t>
            </w:r>
          </w:p>
          <w:p w14:paraId="6FC8F48D" w14:textId="4AB801E6"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e) Diện tích nuôi tôm thẻ chân trắng: 20.000.000 đồng/ha (mật độ nuôi từ 50 - 100 con/m2); 30.000.000 đồng/ha (mật độ nuôi từ trên 100 - 250 con/m2); 50.000.000 đồng/ha (mật độ nuôi từ trên 250 con/m2); </w:t>
            </w:r>
          </w:p>
          <w:p w14:paraId="3246AFF0" w14:textId="3A8E8550"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g) Diện tích nuôi cá truyền thống, các loài cá bản địa: 10.000.000 đồng/ha;  </w:t>
            </w:r>
          </w:p>
          <w:p w14:paraId="5CD85677"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h) Diện tích nuôi cá tra thâm canh: 50.000.000 đồng/ha;  </w:t>
            </w:r>
          </w:p>
          <w:p w14:paraId="7279E99F"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i) Diện tích nuôi cá rô phi thâm canh: 30.000.000 đồng/ha;  </w:t>
            </w:r>
          </w:p>
          <w:p w14:paraId="4A046329"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k) Cá nước lạnh (tầm, hồi) nuôi thâm canh: 20.000 đồng/kg; </w:t>
            </w:r>
          </w:p>
          <w:p w14:paraId="255CF30A"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l) Thủy sản nước ngọt nuôi lồng, bè: 5.000 đồng/kg;  </w:t>
            </w:r>
          </w:p>
          <w:p w14:paraId="5DEE9E5C" w14:textId="4EFC27C5"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m) Hải sản nuôi lồng, bè: 10.000 đồng/kg.”</w:t>
            </w:r>
          </w:p>
        </w:tc>
        <w:tc>
          <w:tcPr>
            <w:tcW w:w="2046" w:type="pct"/>
            <w:shd w:val="clear" w:color="auto" w:fill="FFFFFF"/>
          </w:tcPr>
          <w:p w14:paraId="50733D1F" w14:textId="77777777" w:rsidR="00F63C1C" w:rsidRPr="00F63C1C"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lastRenderedPageBreak/>
              <w:t xml:space="preserve">Khoản </w:t>
            </w:r>
            <w:r w:rsidRPr="0031675C">
              <w:rPr>
                <w:b/>
                <w:bCs/>
                <w:color w:val="000000" w:themeColor="text1"/>
                <w:lang w:val="vi-VN"/>
              </w:rPr>
              <w:t>2</w:t>
            </w:r>
            <w:r w:rsidRPr="00664624">
              <w:rPr>
                <w:b/>
                <w:bCs/>
                <w:color w:val="000000" w:themeColor="text1"/>
                <w:lang w:val="vi-VN"/>
              </w:rPr>
              <w:t xml:space="preserve"> Điều 3. Điều kiện và mức hỗ trợ</w:t>
            </w:r>
          </w:p>
          <w:p w14:paraId="238561D9" w14:textId="19CE4994" w:rsidR="00664624" w:rsidRPr="00F63C1C"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color w:val="000000" w:themeColor="text1"/>
                <w:lang w:val="vi-VN"/>
              </w:rPr>
              <w:t xml:space="preserve">2. Mức hỗ trợ đối với cơ sở sản xuất </w:t>
            </w:r>
          </w:p>
          <w:p w14:paraId="4F077B87"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a) Đối với cơ sở sản xuất động vật trên cạn: </w:t>
            </w:r>
          </w:p>
          <w:p w14:paraId="6D1ABEA2"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Trâu, bò, ngựa, dê: 50.000 đồng/kg hơi; </w:t>
            </w:r>
          </w:p>
          <w:p w14:paraId="36104FD4"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Cừu, hươu sao: 55.000 đồng/kg hơi; </w:t>
            </w:r>
          </w:p>
          <w:p w14:paraId="2AD33EF9"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Lợn (heo): 40.000 đồng/kg hơi; </w:t>
            </w:r>
          </w:p>
          <w:p w14:paraId="0523B0D3"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Gà, vịt, ngan, ngỗng, bồ câu: 35.000 đồng/kg hơi;</w:t>
            </w:r>
          </w:p>
          <w:p w14:paraId="45434460"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Chim cút: 20.000 đồng/kg hơi; </w:t>
            </w:r>
          </w:p>
          <w:p w14:paraId="40A2F9C8"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Đà điểu: 50.000 đồng/kg hơi; </w:t>
            </w:r>
          </w:p>
          <w:p w14:paraId="47553E81"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 Trứng gia cầm (gà, vịt, ngan, ngỗng, bồ câu, chim cút, đà điểu): 20.000 đồng/kg. </w:t>
            </w:r>
          </w:p>
          <w:p w14:paraId="2C4BB454"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b) Đối với cơ sở sản xuất động vật thủy sản: </w:t>
            </w:r>
          </w:p>
          <w:p w14:paraId="6F51CFB5"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Tôm hùm giống: 10.000 đồng/con;</w:t>
            </w:r>
          </w:p>
          <w:p w14:paraId="309A40C0"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Tôm giống (tôm thẻ chân trắng, tôm sú) từ giai đoạn hậu ấu trùng Postlarvae 12 trở lên: 10.000.000 đồng/01 triệu con;</w:t>
            </w:r>
          </w:p>
          <w:p w14:paraId="28B2D21B"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lastRenderedPageBreak/>
              <w:t>- Cá giống (cá biển, cá tra, cá truyền thống, cá rô phi): 10.000 đồng/kg;</w:t>
            </w:r>
          </w:p>
          <w:p w14:paraId="6F330CCE"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tôm sú quảng canh (nuôi tôm lúa, tôm sinh thái, tôm rừng, tôm kết hợp): 9.000.000 đồng/ha;</w:t>
            </w:r>
          </w:p>
          <w:p w14:paraId="147F211E"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tôm sú (bán thâm canh, thâm canh): 12.000.000 đồng/ha;</w:t>
            </w:r>
          </w:p>
          <w:p w14:paraId="6C262D20"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tôm thẻ chân trắng: 20.000.000 đồng/ha (mật độ nuôi</w:t>
            </w:r>
          </w:p>
          <w:p w14:paraId="0F9E0B6E"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từ 50 - 100 con/m2); 30.000.000 đồng/ha (mật độ nuôi từ trên 100 - 250 con/m2); 50.000.000 đồng/ha (mật độ nuôi từ trên 250 con/m2);</w:t>
            </w:r>
          </w:p>
          <w:p w14:paraId="3D293688"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cá truyền thống, các loài cá bản địa: 10.000.000 đồng/ha;</w:t>
            </w:r>
          </w:p>
          <w:p w14:paraId="711DC264"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cá tra thâm canh: 50.000.000 đồng/ha;</w:t>
            </w:r>
          </w:p>
          <w:p w14:paraId="1DB75F01"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Diện tích nuôi cá rô phi thâm canh: 30.000.000 đồng/ha;</w:t>
            </w:r>
          </w:p>
          <w:p w14:paraId="1EC479C4"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Thủy sản nước ngọt nuôi lồng, bè: 5.000 đồng/kg;</w:t>
            </w:r>
          </w:p>
          <w:p w14:paraId="263E27E9" w14:textId="728003DB"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Hải sản nuôi lồng, bè: 10.000 đồng/kg.</w:t>
            </w:r>
          </w:p>
        </w:tc>
        <w:tc>
          <w:tcPr>
            <w:tcW w:w="909" w:type="pct"/>
            <w:shd w:val="clear" w:color="auto" w:fill="FFFFFF"/>
            <w:vAlign w:val="center"/>
          </w:tcPr>
          <w:p w14:paraId="2FB57EEE" w14:textId="4D7BA014" w:rsidR="00E65EE3" w:rsidRPr="00E65EE3" w:rsidRDefault="00E65EE3"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E65EE3">
              <w:rPr>
                <w:rFonts w:ascii="Times New Roman" w:hAnsi="Times New Roman" w:cs="Times New Roman"/>
                <w:color w:val="000000" w:themeColor="text1"/>
                <w:sz w:val="24"/>
                <w:szCs w:val="24"/>
                <w:lang w:val="vi-VN"/>
              </w:rPr>
              <w:lastRenderedPageBreak/>
              <w:t>- Cơ quan soạn thảo đề xuất mức hỗ trợ đối với cơ sở sản xuất động vật trên cạn có động vật, sản phẩm động vật buộc tiêu huỷ do dịch bệnh của dự thảo Nghị quyết áp dụng theo quy định tại khoản 1 Điều 6 Nghị định số 116/2025/NĐ-CP ngày 05/6/2025 của Chính phủ và không đề xuất mức hỗ trợ cao hơn. Mức hỗ trợ này đã có từng loại vật nuôi, sản phẩm động vật (trứng gia cầm) và phù hợp với thực tế tại tỉnh.</w:t>
            </w:r>
          </w:p>
          <w:p w14:paraId="398DCC1E" w14:textId="666F824B" w:rsidR="00664624" w:rsidRPr="00E33E25" w:rsidRDefault="00E65EE3"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E65EE3">
              <w:rPr>
                <w:rFonts w:ascii="Times New Roman" w:hAnsi="Times New Roman" w:cs="Times New Roman"/>
                <w:color w:val="000000" w:themeColor="text1"/>
                <w:sz w:val="24"/>
                <w:szCs w:val="24"/>
                <w:lang w:val="vi-VN"/>
              </w:rPr>
              <w:t xml:space="preserve">- Cơ quan soạn thảo đề xuất mức hỗ trợ đối với cơ </w:t>
            </w:r>
            <w:r w:rsidRPr="00E65EE3">
              <w:rPr>
                <w:rFonts w:ascii="Times New Roman" w:hAnsi="Times New Roman" w:cs="Times New Roman"/>
                <w:color w:val="000000" w:themeColor="text1"/>
                <w:sz w:val="24"/>
                <w:szCs w:val="24"/>
                <w:lang w:val="vi-VN"/>
              </w:rPr>
              <w:lastRenderedPageBreak/>
              <w:t>sở sản xuất động vật thuỷ sản địa bàn tỉnh của dự thảo Nghị quyết áp dụng theo quy định tại khoản 2 Điều 6 Nghị định số 116/2025/NĐ-CP ngày 05/6/2025 của Chính phủ và không đề xuất mức hỗ trợ cao hơn. Mức hỗ trợ này đã có từng loại động vật thuỷ sản và phù hợp với thực tế của tỉnh. Đồng thời</w:t>
            </w:r>
            <w:r w:rsidR="00020B91">
              <w:rPr>
                <w:rFonts w:ascii="Times New Roman" w:hAnsi="Times New Roman" w:cs="Times New Roman"/>
                <w:color w:val="000000" w:themeColor="text1"/>
                <w:sz w:val="24"/>
                <w:szCs w:val="24"/>
                <w:lang w:val="vi-VN"/>
              </w:rPr>
              <w:t>,</w:t>
            </w:r>
            <w:r w:rsidRPr="00E65EE3">
              <w:rPr>
                <w:rFonts w:ascii="Times New Roman" w:hAnsi="Times New Roman" w:cs="Times New Roman"/>
                <w:color w:val="000000" w:themeColor="text1"/>
                <w:sz w:val="24"/>
                <w:szCs w:val="24"/>
                <w:lang w:val="vi-VN"/>
              </w:rPr>
              <w:t xml:space="preserve"> mức hỗ trợ này có sự xác định cụ thể về đơn vị tính khối lượng (kg) đối với sản xuất cá giống, thuỷ sản nuôi nước ngọt nuôi lồng bè và diện tích (ha) đối với diện tích nuôi cá truyền thống, nuôi rô phi thâm canh có tính áp dụng thực tiễn cao.</w:t>
            </w:r>
          </w:p>
        </w:tc>
      </w:tr>
      <w:tr w:rsidR="00664624" w:rsidRPr="00397D3F" w14:paraId="5360E67F" w14:textId="77777777" w:rsidTr="00CC7F2B">
        <w:trPr>
          <w:trHeight w:val="20"/>
          <w:jc w:val="center"/>
        </w:trPr>
        <w:tc>
          <w:tcPr>
            <w:tcW w:w="2045" w:type="pct"/>
            <w:shd w:val="clear" w:color="auto" w:fill="FFFFFF"/>
          </w:tcPr>
          <w:p w14:paraId="71B98DB6" w14:textId="45AD60A6" w:rsidR="00F63C1C" w:rsidRPr="00F63C1C" w:rsidRDefault="00F63C1C" w:rsidP="00E63D0C">
            <w:pPr>
              <w:spacing w:before="60" w:after="60" w:line="240" w:lineRule="auto"/>
              <w:ind w:left="121" w:right="125"/>
              <w:jc w:val="both"/>
              <w:rPr>
                <w:rFonts w:ascii="Times New Roman" w:hAnsi="Times New Roman" w:cs="Times New Roman"/>
                <w:b/>
                <w:bCs/>
                <w:color w:val="000000" w:themeColor="text1"/>
                <w:sz w:val="24"/>
                <w:szCs w:val="24"/>
                <w:lang w:val="vi-VN"/>
              </w:rPr>
            </w:pPr>
          </w:p>
        </w:tc>
        <w:tc>
          <w:tcPr>
            <w:tcW w:w="2046" w:type="pct"/>
            <w:shd w:val="clear" w:color="auto" w:fill="FFFFFF"/>
          </w:tcPr>
          <w:p w14:paraId="306F2BDB" w14:textId="6CDB8DBD" w:rsidR="00664624"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t xml:space="preserve">Khoản </w:t>
            </w:r>
            <w:r w:rsidRPr="0031675C">
              <w:rPr>
                <w:b/>
                <w:bCs/>
                <w:color w:val="000000" w:themeColor="text1"/>
                <w:lang w:val="vi-VN"/>
              </w:rPr>
              <w:t>3</w:t>
            </w:r>
            <w:r w:rsidRPr="00664624">
              <w:rPr>
                <w:b/>
                <w:bCs/>
                <w:color w:val="000000" w:themeColor="text1"/>
                <w:lang w:val="vi-VN"/>
              </w:rPr>
              <w:t xml:space="preserve"> Điều 3. Điều kiện và mức hỗ trợ</w:t>
            </w:r>
          </w:p>
          <w:p w14:paraId="1B0D99B5"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3. Mức hỗ trợ đối với doanh nghiệp nhỏ và vừa</w:t>
            </w:r>
          </w:p>
          <w:p w14:paraId="767E8323" w14:textId="73CE847A"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Doanh nghiệp nhỏ và vừa (không bao gồm các doanh nghiệp thuộc lực lượng vũ trang nhân dân) có hoạt động chăn nuôi, nuôi trồng thủy sản, sản xuất, ương dưỡng giống thủy sản khi buộc phải tiêu hủy vật nuôi hoặc thủy sản do dịch bệnh theo yêu cầu của cơ quan có thẩm quyền, được hỗ trợ theo mức quy định tại khoản 2 Điều 2 Nghị quyết này.</w:t>
            </w:r>
          </w:p>
        </w:tc>
        <w:tc>
          <w:tcPr>
            <w:tcW w:w="909" w:type="pct"/>
            <w:shd w:val="clear" w:color="auto" w:fill="FFFFFF"/>
            <w:vAlign w:val="center"/>
          </w:tcPr>
          <w:p w14:paraId="6E79D803" w14:textId="1E2D6FE3" w:rsidR="00664624" w:rsidRPr="00E33E25" w:rsidRDefault="00F63C1C"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F63C1C">
              <w:rPr>
                <w:rFonts w:ascii="Times New Roman" w:hAnsi="Times New Roman" w:cs="Times New Roman"/>
                <w:color w:val="000000" w:themeColor="text1"/>
                <w:sz w:val="24"/>
                <w:szCs w:val="24"/>
                <w:lang w:val="vi-VN"/>
              </w:rPr>
              <w:t xml:space="preserve">Cơ quan soạn thảo đề xuất mức hỗ trợ đối với các doanh nghiệp nhỏ và vừa có hoạt động chăn nuôi, nuôi trồng thủy sản, sản xuất, ương dưỡng giống thủy sản trên địa bàn tỉnh Thái Nguyên bị thiệt hại do dịch bệnh động vật từ nguồn ngân sách địa phương và các nguồn kinh phí hợp pháp khác theo </w:t>
            </w:r>
            <w:r w:rsidRPr="00F63C1C">
              <w:rPr>
                <w:rFonts w:ascii="Times New Roman" w:hAnsi="Times New Roman" w:cs="Times New Roman"/>
                <w:color w:val="000000" w:themeColor="text1"/>
                <w:sz w:val="24"/>
                <w:szCs w:val="24"/>
                <w:lang w:val="vi-VN"/>
              </w:rPr>
              <w:lastRenderedPageBreak/>
              <w:t>quy định của pháp luật bằng mức hỗ trợ cho các đối tượng là cá nhân, hộ gia đình, tổ hợp tác, hợp tác xã, liên hiệp hợp tác xã, các cơ quan, đơn vị thuộc lực lượng vũ trang nhân dân (không bao gồm các doanh nghiệp thuộc lực lượng vũ trang) trên địa bàn tỉnh nhưng tổng kinh phí hỗ trợ không quá 1,5 tỷ/doanh nghiệp nhằm tháo gỡ một phần khó khăn cho doanh nghiệp vừa và nhỏ khi bị thiệt hại do dịch bệnh động vật gây ra để nhanh chóng khôi phục sản xuất, kinh doanh, ổn định kinh tế - xã hội. Do vậy mức hỗ trợ trên là phù hợp so với đặc điểm sản xuất, thực tế tại địa phương và tình hình ngân sách của tỉnh.</w:t>
            </w:r>
          </w:p>
        </w:tc>
      </w:tr>
      <w:tr w:rsidR="00664624" w:rsidRPr="00397D3F" w14:paraId="23160C84" w14:textId="77777777" w:rsidTr="00CC7F2B">
        <w:trPr>
          <w:trHeight w:val="20"/>
          <w:jc w:val="center"/>
        </w:trPr>
        <w:tc>
          <w:tcPr>
            <w:tcW w:w="2045" w:type="pct"/>
            <w:shd w:val="clear" w:color="auto" w:fill="FFFFFF"/>
          </w:tcPr>
          <w:p w14:paraId="39840C07" w14:textId="66B0EB9F" w:rsidR="00664624" w:rsidRPr="00A3099B" w:rsidRDefault="00F63C1C" w:rsidP="00E63D0C">
            <w:pPr>
              <w:spacing w:before="60" w:after="60" w:line="240" w:lineRule="auto"/>
              <w:ind w:left="121" w:right="125"/>
              <w:rPr>
                <w:rFonts w:ascii="Times New Roman" w:hAnsi="Times New Roman" w:cs="Times New Roman"/>
                <w:b/>
                <w:bCs/>
                <w:color w:val="000000" w:themeColor="text1"/>
                <w:sz w:val="24"/>
                <w:szCs w:val="24"/>
                <w:lang w:val="vi-VN"/>
              </w:rPr>
            </w:pPr>
            <w:r w:rsidRPr="00A3099B">
              <w:rPr>
                <w:rFonts w:ascii="Times New Roman" w:hAnsi="Times New Roman" w:cs="Times New Roman"/>
                <w:b/>
                <w:bCs/>
                <w:color w:val="000000" w:themeColor="text1"/>
                <w:sz w:val="24"/>
                <w:szCs w:val="24"/>
                <w:lang w:val="vi-VN"/>
              </w:rPr>
              <w:lastRenderedPageBreak/>
              <w:t>Điều 7</w:t>
            </w:r>
          </w:p>
          <w:p w14:paraId="55F58755" w14:textId="601F5148"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b/>
                <w:bCs/>
                <w:color w:val="000000" w:themeColor="text1"/>
                <w:sz w:val="24"/>
                <w:szCs w:val="24"/>
                <w:lang w:val="vi-VN"/>
              </w:rPr>
              <w:t>“</w:t>
            </w:r>
            <w:r w:rsidRPr="00A3099B">
              <w:rPr>
                <w:rFonts w:ascii="Times New Roman" w:hAnsi="Times New Roman" w:cs="Times New Roman"/>
                <w:b/>
                <w:bCs/>
                <w:i/>
                <w:iCs/>
                <w:color w:val="000000" w:themeColor="text1"/>
                <w:sz w:val="24"/>
                <w:szCs w:val="24"/>
                <w:lang w:val="vi-VN"/>
              </w:rPr>
              <w:t>Điều 7. Mức hỗ trợ đối với người tham gia khắc phục dịch bệnh động vật</w:t>
            </w:r>
            <w:r w:rsidRPr="00A3099B">
              <w:rPr>
                <w:rFonts w:ascii="Times New Roman" w:hAnsi="Times New Roman" w:cs="Times New Roman"/>
                <w:i/>
                <w:iCs/>
                <w:color w:val="000000" w:themeColor="text1"/>
                <w:sz w:val="24"/>
                <w:szCs w:val="24"/>
                <w:lang w:val="vi-VN"/>
              </w:rPr>
              <w:t xml:space="preserve"> </w:t>
            </w:r>
          </w:p>
          <w:p w14:paraId="1C56B536" w14:textId="6C5A529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 </w:t>
            </w:r>
          </w:p>
          <w:p w14:paraId="7D0D9BCB" w14:textId="2B29B68D" w:rsidR="00F63C1C" w:rsidRPr="00A3099B" w:rsidRDefault="00F63C1C" w:rsidP="00E63D0C">
            <w:pPr>
              <w:spacing w:before="60" w:after="60" w:line="240" w:lineRule="auto"/>
              <w:ind w:left="121" w:right="125"/>
              <w:jc w:val="both"/>
              <w:rPr>
                <w:rFonts w:ascii="Times New Roman" w:hAnsi="Times New Roman" w:cs="Times New Roman"/>
                <w:b/>
                <w:bCs/>
                <w:color w:val="000000" w:themeColor="text1"/>
                <w:sz w:val="24"/>
                <w:szCs w:val="24"/>
                <w:lang w:val="vi-VN"/>
              </w:rPr>
            </w:pPr>
            <w:r w:rsidRPr="00A3099B">
              <w:rPr>
                <w:rFonts w:ascii="Times New Roman" w:hAnsi="Times New Roman" w:cs="Times New Roman"/>
                <w:i/>
                <w:iCs/>
                <w:color w:val="000000" w:themeColor="text1"/>
                <w:sz w:val="24"/>
                <w:szCs w:val="24"/>
                <w:lang w:val="vi-VN"/>
              </w:rPr>
              <w:lastRenderedPageBreak/>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r w:rsidRPr="00A3099B">
              <w:rPr>
                <w:rFonts w:ascii="Times New Roman" w:hAnsi="Times New Roman" w:cs="Times New Roman"/>
                <w:b/>
                <w:bCs/>
                <w:color w:val="000000" w:themeColor="text1"/>
                <w:sz w:val="24"/>
                <w:szCs w:val="24"/>
                <w:lang w:val="vi-VN"/>
              </w:rPr>
              <w:t>”</w:t>
            </w:r>
          </w:p>
          <w:p w14:paraId="47777645" w14:textId="0BBCC05D" w:rsidR="00F63C1C" w:rsidRPr="00A3099B" w:rsidRDefault="00F63C1C" w:rsidP="00E63D0C">
            <w:pPr>
              <w:spacing w:before="60" w:after="60" w:line="240" w:lineRule="auto"/>
              <w:ind w:left="121" w:right="125"/>
              <w:rPr>
                <w:rFonts w:ascii="Times New Roman" w:hAnsi="Times New Roman" w:cs="Times New Roman"/>
                <w:b/>
                <w:bCs/>
                <w:color w:val="000000" w:themeColor="text1"/>
                <w:sz w:val="24"/>
                <w:szCs w:val="24"/>
                <w:lang w:val="vi-VN"/>
              </w:rPr>
            </w:pPr>
          </w:p>
        </w:tc>
        <w:tc>
          <w:tcPr>
            <w:tcW w:w="2046" w:type="pct"/>
            <w:shd w:val="clear" w:color="auto" w:fill="FFFFFF"/>
          </w:tcPr>
          <w:p w14:paraId="768EE30D" w14:textId="15CAB805" w:rsidR="00664624"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lastRenderedPageBreak/>
              <w:t xml:space="preserve">Khoản </w:t>
            </w:r>
            <w:r w:rsidRPr="0031675C">
              <w:rPr>
                <w:b/>
                <w:bCs/>
                <w:color w:val="000000" w:themeColor="text1"/>
                <w:lang w:val="vi-VN"/>
              </w:rPr>
              <w:t>4</w:t>
            </w:r>
            <w:r w:rsidRPr="00664624">
              <w:rPr>
                <w:b/>
                <w:bCs/>
                <w:color w:val="000000" w:themeColor="text1"/>
                <w:lang w:val="vi-VN"/>
              </w:rPr>
              <w:t xml:space="preserve"> Điều 3. Điều kiện và mức hỗ trợ</w:t>
            </w:r>
          </w:p>
          <w:p w14:paraId="32EE96EE"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 xml:space="preserve">4. Mức hỗ trợ đối với người tham gia khắc phục dịch bệnh động vật </w:t>
            </w:r>
          </w:p>
          <w:p w14:paraId="0620F9B0" w14:textId="77777777"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a)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4D0110A1" w14:textId="3A178485"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lastRenderedPageBreak/>
              <w:t>b)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tc>
        <w:tc>
          <w:tcPr>
            <w:tcW w:w="909" w:type="pct"/>
            <w:shd w:val="clear" w:color="auto" w:fill="FFFFFF"/>
            <w:vAlign w:val="center"/>
          </w:tcPr>
          <w:p w14:paraId="151A4F8B" w14:textId="77777777" w:rsidR="00F63C1C" w:rsidRPr="00F63C1C" w:rsidRDefault="00F63C1C"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F63C1C">
              <w:rPr>
                <w:rFonts w:ascii="Times New Roman" w:hAnsi="Times New Roman" w:cs="Times New Roman"/>
                <w:color w:val="000000" w:themeColor="text1"/>
                <w:sz w:val="24"/>
                <w:szCs w:val="24"/>
                <w:lang w:val="vi-VN"/>
              </w:rPr>
              <w:lastRenderedPageBreak/>
              <w:t>Cơ quan soạn thảo đề xuất mức hỗ trợ đối với người tham gia khắc phục dịch bệnh động vật của dự thảo Nghị quyết áp dụng theo quy định tại Khoản 1 Điều 7 Nghị định số 116/2025/NĐ-CP ngày 05/6/2025 của Chính phủ.</w:t>
            </w:r>
          </w:p>
          <w:p w14:paraId="2D6A50C7" w14:textId="77777777" w:rsidR="00F63C1C" w:rsidRPr="00F63C1C" w:rsidRDefault="00F63C1C"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F63C1C">
              <w:rPr>
                <w:rFonts w:ascii="Times New Roman" w:hAnsi="Times New Roman" w:cs="Times New Roman"/>
                <w:color w:val="000000" w:themeColor="text1"/>
                <w:sz w:val="24"/>
                <w:szCs w:val="24"/>
                <w:lang w:val="vi-VN"/>
              </w:rPr>
              <w:lastRenderedPageBreak/>
              <w:t>- Mức hỗ trợ này được quy định cho đối tượng tham gia khắc phục dịch bệnh là người không hưởng lương từ ngân sách nhà nước và phù hợp với thực tế tại tỉnh. Đồng thời, mức hỗ trợ này đã cao hơn mức hỗ trợ được quy định tại Quyết định số 719/QĐ-TTg ngày 5/6/2008 của Chính phủ và Quyết định số 1442/QĐ-TTg ngày 23/8/2011 của Chính phủ sửa đổi, bổ sung một số điều của Quyết định số 719/QĐ-TTg ngày 05/6/2008 của Chính phủ.</w:t>
            </w:r>
          </w:p>
          <w:p w14:paraId="3CE7C8FB" w14:textId="62A9AE7E" w:rsidR="00664624" w:rsidRPr="00E33E25" w:rsidRDefault="00F63C1C"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F63C1C">
              <w:rPr>
                <w:rFonts w:ascii="Times New Roman" w:hAnsi="Times New Roman" w:cs="Times New Roman"/>
                <w:color w:val="000000" w:themeColor="text1"/>
                <w:sz w:val="24"/>
                <w:szCs w:val="24"/>
                <w:lang w:val="vi-VN"/>
              </w:rPr>
              <w:t xml:space="preserve">- Mức hỗ trợ này được quy định cho đối tượng tham gia khắc phục dịch bệnh là người hưởng lương từ ngân sách nhà nước và phù hợp với thực tế tại tỉnh. Đồng thời mức hỗ trợ này đã cao hơn mức hỗ trợ được quy định tại Quyết định 719/QĐ-TTg ngày 5/6/2008 của Chính phủ và Quyết định số 1442/QĐ-TTg ngày 23/8/2011 của Chính phủ sửa đổi, bổ sung một số điều của Quyết định 719/QĐ-TTg </w:t>
            </w:r>
            <w:r w:rsidRPr="00F63C1C">
              <w:rPr>
                <w:rFonts w:ascii="Times New Roman" w:hAnsi="Times New Roman" w:cs="Times New Roman"/>
                <w:color w:val="000000" w:themeColor="text1"/>
                <w:sz w:val="24"/>
                <w:szCs w:val="24"/>
                <w:lang w:val="vi-VN"/>
              </w:rPr>
              <w:lastRenderedPageBreak/>
              <w:t>ngày 5/6/2008 của Chính phủ.</w:t>
            </w:r>
          </w:p>
        </w:tc>
      </w:tr>
      <w:tr w:rsidR="00664624" w:rsidRPr="00397D3F" w14:paraId="3A6F4074" w14:textId="77777777" w:rsidTr="00CC7F2B">
        <w:trPr>
          <w:trHeight w:val="20"/>
          <w:jc w:val="center"/>
        </w:trPr>
        <w:tc>
          <w:tcPr>
            <w:tcW w:w="2045" w:type="pct"/>
            <w:shd w:val="clear" w:color="auto" w:fill="FFFFFF"/>
          </w:tcPr>
          <w:p w14:paraId="62D83B4A" w14:textId="77777777" w:rsidR="00664624" w:rsidRPr="00A3099B" w:rsidRDefault="00F63C1C" w:rsidP="00E63D0C">
            <w:pPr>
              <w:spacing w:before="60" w:after="60" w:line="240" w:lineRule="auto"/>
              <w:ind w:left="121" w:right="125"/>
              <w:rPr>
                <w:rFonts w:ascii="Times New Roman" w:hAnsi="Times New Roman" w:cs="Times New Roman"/>
                <w:b/>
                <w:bCs/>
                <w:color w:val="000000" w:themeColor="text1"/>
                <w:sz w:val="24"/>
                <w:szCs w:val="24"/>
                <w:lang w:val="vi-VN"/>
              </w:rPr>
            </w:pPr>
            <w:r w:rsidRPr="00A3099B">
              <w:rPr>
                <w:rFonts w:ascii="Times New Roman" w:hAnsi="Times New Roman" w:cs="Times New Roman"/>
                <w:b/>
                <w:bCs/>
                <w:color w:val="000000" w:themeColor="text1"/>
                <w:sz w:val="24"/>
                <w:szCs w:val="24"/>
                <w:lang w:val="vi-VN"/>
              </w:rPr>
              <w:lastRenderedPageBreak/>
              <w:t>Điều 8</w:t>
            </w:r>
          </w:p>
          <w:p w14:paraId="61D687B6" w14:textId="5B2BD725" w:rsidR="00F63C1C" w:rsidRPr="00A3099B" w:rsidRDefault="00F63C1C" w:rsidP="00E63D0C">
            <w:pPr>
              <w:spacing w:before="60" w:after="60" w:line="240" w:lineRule="auto"/>
              <w:ind w:left="121" w:right="125"/>
              <w:jc w:val="both"/>
              <w:rPr>
                <w:rFonts w:ascii="Times New Roman" w:hAnsi="Times New Roman" w:cs="Times New Roman"/>
                <w:b/>
                <w:bCs/>
                <w:color w:val="000000" w:themeColor="text1"/>
                <w:sz w:val="24"/>
                <w:szCs w:val="24"/>
                <w:lang w:val="vi-VN"/>
              </w:rPr>
            </w:pPr>
            <w:r w:rsidRPr="00A3099B">
              <w:rPr>
                <w:rFonts w:ascii="Times New Roman" w:hAnsi="Times New Roman" w:cs="Times New Roman"/>
                <w:b/>
                <w:bCs/>
                <w:color w:val="000000" w:themeColor="text1"/>
                <w:sz w:val="24"/>
                <w:szCs w:val="24"/>
                <w:lang w:val="vi-VN"/>
              </w:rPr>
              <w:t>“</w:t>
            </w:r>
            <w:r w:rsidRPr="00A3099B">
              <w:rPr>
                <w:rFonts w:ascii="Times New Roman" w:hAnsi="Times New Roman" w:cs="Times New Roman"/>
                <w:b/>
                <w:bCs/>
                <w:i/>
                <w:iCs/>
                <w:color w:val="000000" w:themeColor="text1"/>
                <w:sz w:val="24"/>
                <w:szCs w:val="24"/>
                <w:lang w:val="vi-VN"/>
              </w:rPr>
              <w:t>Điều 8. Nguồn kinh phí thực hiện, nguyên tắc hỗ trợ từ ngân sách trung ương cho ngân sách địa phương</w:t>
            </w:r>
            <w:r w:rsidRPr="00A3099B">
              <w:rPr>
                <w:rFonts w:ascii="Times New Roman" w:hAnsi="Times New Roman" w:cs="Times New Roman"/>
                <w:b/>
                <w:bCs/>
                <w:color w:val="000000" w:themeColor="text1"/>
                <w:sz w:val="24"/>
                <w:szCs w:val="24"/>
                <w:lang w:val="vi-VN"/>
              </w:rPr>
              <w:t xml:space="preserve"> </w:t>
            </w:r>
          </w:p>
          <w:p w14:paraId="0C57A8E1"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1. Nguồn kinh phí thực hiện</w:t>
            </w:r>
          </w:p>
          <w:p w14:paraId="763F0285" w14:textId="60350E9A"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a) Ngân sách nhà nước, bao gồm: Ngân sách trung ương, ngân sách địa phương; </w:t>
            </w:r>
          </w:p>
          <w:p w14:paraId="34DC16CA" w14:textId="7D23C4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Đóng góp, tài trợ của tổ chức, cá nhân trong nước, ngoài nước, tổ chức quốc tế và các nguồn tài chính hợp pháp khác theo quy định của pháp luật. </w:t>
            </w:r>
          </w:p>
          <w:p w14:paraId="7A6311C1"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2. Nguyên tắc hỗ trợ từ ngân sách trung ương cho ngân sách địa phương </w:t>
            </w:r>
          </w:p>
          <w:p w14:paraId="3919127F" w14:textId="06260F40"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a) Đối với các địa phương nhận bổ sung cân đối từ ngân sách trung ương, mức hỗ trợ kinh phí từ ngân sách trung ương thực hiện chính sách theo quy định tại Điều 6 và khoản 1 Điều 7 Nghị định này được xác định theo tỷ lệ số bổ sung cân đối/tổng chi cân đối ngân sách địa phương, trong đó: hỗ trợ 80% mức ngân sách nhà nước hỗ trợ cho địa phương có tỷ lệ từ 50% trở lên; hỗ trợ 60% mức ngân sách nhà nước hỗ trợ cho địa phương có tỷ lệ từ 30% đến dưới </w:t>
            </w:r>
          </w:p>
          <w:p w14:paraId="73FB6073" w14:textId="2936CF74"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50%; hỗ trợ 30% mức ngân sách nhà nước hỗ trợ cho địa phương có tỷ lệ dưới 30%;  </w:t>
            </w:r>
          </w:p>
          <w:p w14:paraId="3693305A" w14:textId="62DF3D12"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Đối với các địa phương không nhận bổ sung cân đối từ ngân sách trung ương, ngân sách địa phương đảm bảo kinh phí thực hiện chính sách;  </w:t>
            </w:r>
          </w:p>
          <w:p w14:paraId="7964D5D9" w14:textId="79BD0113"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c) Tỷ lệ số bổ sung cân đối/tổng chi cân đối ngân sách địa phương quy định tại điểm a, điểm b Khoản này được xác định theo dự toán thu, chi ngân sách nhà nước hằng năm do Quốc hội quyết định;  </w:t>
            </w:r>
          </w:p>
          <w:p w14:paraId="7C471E73" w14:textId="7A8DF62F"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d) Trường hợp sau khi đã sử dụng nguồn lực của địa phương, gồm: Đóng góp, tài trợ, các nguồn tài chính hợp pháp khác quy </w:t>
            </w:r>
            <w:r w:rsidRPr="00A3099B">
              <w:rPr>
                <w:rFonts w:ascii="Times New Roman" w:hAnsi="Times New Roman" w:cs="Times New Roman"/>
                <w:i/>
                <w:iCs/>
                <w:color w:val="000000" w:themeColor="text1"/>
                <w:sz w:val="24"/>
                <w:szCs w:val="24"/>
                <w:lang w:val="vi-VN"/>
              </w:rPr>
              <w:lastRenderedPageBreak/>
              <w:t xml:space="preserve">định tại điểm b khoản 1 Điều này, 50% dự toán dự phòng ngân sách địa phương được Thủ tướng Chính phủ giao đầu năm, 70% số dư đầu năm Quỹ dự trữ tài chính cấp tỉnh mà chưa đảm bảo được phần ngân sách địa phương đảm bảo theo quy định tại điểm a, </w:t>
            </w:r>
          </w:p>
          <w:p w14:paraId="696AE63D" w14:textId="11C56082"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khoản này thì ngân sách trung ương bổ sung thêm phần chênh lệch để các địa phương có đủ nguồn để thực hiện. </w:t>
            </w:r>
          </w:p>
          <w:p w14:paraId="450F9D02"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3. Các quy định khác </w:t>
            </w:r>
          </w:p>
          <w:p w14:paraId="15B05D11" w14:textId="779B096C"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a) Trường hợp tổng kinh phí hỗ trợ thiệt hại và kinh phí hỗ trợ người tham gia khắc phục dịch bệnh động vật tại khoản 1 Điều 7 Nghị định này trong năm dưới 01 tỷ đồng/năm: Các tỉnh, thành phố trực thuộc trung ương chủ động sử dụng ngân sách địa phương để thực hiện, ngân sách trung ương không hỗ trợ; </w:t>
            </w:r>
          </w:p>
          <w:p w14:paraId="3433DAD0" w14:textId="2B239142"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 xml:space="preserve">b) Việc huy động, sử dụng, thanh quyết toán kinh phí hỗ trợ từ nguồn kinh phí quy định tại điểm b khoản 1 Điều này được thực hiện theo quy định của pháp luật; </w:t>
            </w:r>
          </w:p>
          <w:p w14:paraId="3D26702F" w14:textId="77777777" w:rsidR="00F63C1C" w:rsidRPr="00A3099B" w:rsidRDefault="00F63C1C"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c) Các cơ quan, đơn vị phân công, huy động người tham gia khắc phục dịch bệnh động vật theo quy định tại khoản 2 Điều 7 Nghị định này sử dụng dự toán được cấp có thẩm quyền giao để hỗ trợ người của cơ quan, đơn vị mình tham gia khắc phục dịch bệnh động vật.</w:t>
            </w:r>
          </w:p>
          <w:p w14:paraId="1FEAFACC" w14:textId="101D1C11" w:rsidR="00BF7B37" w:rsidRPr="00A3099B" w:rsidRDefault="00BF7B37"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A3099B">
              <w:rPr>
                <w:rFonts w:ascii="Times New Roman" w:hAnsi="Times New Roman" w:cs="Times New Roman"/>
                <w:i/>
                <w:iCs/>
                <w:color w:val="000000" w:themeColor="text1"/>
                <w:sz w:val="24"/>
                <w:szCs w:val="24"/>
                <w:lang w:val="vi-VN"/>
              </w:rPr>
              <w:t>d) Ngân sách trung ương đảm bảo kinh phí hỗ trợ cho các cơ quan, đơn vị thuộc lực lượng vũ trang nhân dân (không bao gồm các doanh nghiệp thuộc lực lượng vũ trang) có hoạt động chăn nuôi, nuôi trồng thủy sản, sản xuất, ương dưỡng giống thủy sản bị thiệt hại do dịch bệnh động vật theo mức quy định tại Nghị định này.”</w:t>
            </w:r>
          </w:p>
        </w:tc>
        <w:tc>
          <w:tcPr>
            <w:tcW w:w="2046" w:type="pct"/>
            <w:shd w:val="clear" w:color="auto" w:fill="FFFFFF"/>
          </w:tcPr>
          <w:p w14:paraId="2C889DCB" w14:textId="77777777" w:rsidR="00664624"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lastRenderedPageBreak/>
              <w:t>Điều 4. Kinh phí thực hiện</w:t>
            </w:r>
          </w:p>
          <w:p w14:paraId="14A42B98" w14:textId="101A3B55"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Kinh phí thực hiện được đảm bảo từ nguồn ngân sách trung ương, ngân sách địa phương và các nguồn tài chính hợp pháp khác theo quy định của pháp luật. Việc quản lý, sử dụng kinh phí thực hiện theo quy định pháp luật về ngân sách nhà nước và các quy định pháp luật liên quan.</w:t>
            </w:r>
          </w:p>
        </w:tc>
        <w:tc>
          <w:tcPr>
            <w:tcW w:w="909" w:type="pct"/>
            <w:shd w:val="clear" w:color="auto" w:fill="FFFFFF"/>
            <w:vAlign w:val="center"/>
          </w:tcPr>
          <w:p w14:paraId="792924A1" w14:textId="4BA4DABE" w:rsidR="00664624" w:rsidRPr="00E33E25" w:rsidRDefault="00CC7F2B"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CC7F2B">
              <w:rPr>
                <w:rFonts w:ascii="Times New Roman" w:hAnsi="Times New Roman" w:cs="Times New Roman"/>
                <w:color w:val="000000" w:themeColor="text1"/>
                <w:sz w:val="24"/>
                <w:szCs w:val="24"/>
                <w:lang w:val="vi-VN"/>
              </w:rPr>
              <w:t>Nội dung của dự thảo phù hợp với quy định tại Điều 8 Nghị định số 116/2025/NĐ-CP ngày 05/6/2025 của Chính phủ và các quy định pháp luật hiện hành.</w:t>
            </w:r>
          </w:p>
        </w:tc>
      </w:tr>
      <w:tr w:rsidR="00664624" w:rsidRPr="00397D3F" w14:paraId="2A959F23" w14:textId="77777777" w:rsidTr="00CC7F2B">
        <w:trPr>
          <w:trHeight w:val="20"/>
          <w:jc w:val="center"/>
        </w:trPr>
        <w:tc>
          <w:tcPr>
            <w:tcW w:w="2045" w:type="pct"/>
            <w:shd w:val="clear" w:color="auto" w:fill="FFFFFF"/>
          </w:tcPr>
          <w:p w14:paraId="590887AB" w14:textId="77777777" w:rsidR="00664624" w:rsidRPr="00E33E25" w:rsidRDefault="00664624" w:rsidP="00E63D0C">
            <w:pPr>
              <w:spacing w:before="60" w:after="60" w:line="240" w:lineRule="auto"/>
              <w:ind w:left="121" w:right="125"/>
              <w:rPr>
                <w:rFonts w:ascii="Times New Roman" w:hAnsi="Times New Roman" w:cs="Times New Roman"/>
                <w:b/>
                <w:bCs/>
                <w:color w:val="000000" w:themeColor="text1"/>
                <w:sz w:val="24"/>
                <w:szCs w:val="24"/>
                <w:lang w:val="vi-VN"/>
              </w:rPr>
            </w:pPr>
          </w:p>
        </w:tc>
        <w:tc>
          <w:tcPr>
            <w:tcW w:w="2046" w:type="pct"/>
            <w:shd w:val="clear" w:color="auto" w:fill="FFFFFF"/>
          </w:tcPr>
          <w:p w14:paraId="4877FAE3" w14:textId="77777777" w:rsidR="00664624"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t>Điều 5. Hiệu lực thi hành</w:t>
            </w:r>
          </w:p>
          <w:p w14:paraId="3F6D3014" w14:textId="77777777" w:rsidR="00397D3F" w:rsidRPr="00020B91" w:rsidRDefault="00397D3F" w:rsidP="00E63D0C">
            <w:pPr>
              <w:pStyle w:val="NormalWeb"/>
              <w:shd w:val="clear" w:color="auto" w:fill="FFFFFF"/>
              <w:spacing w:before="60" w:after="60"/>
              <w:ind w:left="139" w:right="129"/>
              <w:rPr>
                <w:color w:val="000000" w:themeColor="text1"/>
                <w:lang w:val="vi-VN"/>
              </w:rPr>
            </w:pPr>
            <w:r w:rsidRPr="00020B91">
              <w:rPr>
                <w:color w:val="000000" w:themeColor="text1"/>
                <w:lang w:val="vi-VN"/>
              </w:rPr>
              <w:t>1. Nghị quyết này có hiệu lực thi hành kể từ ngày…. tháng ….. năm …..</w:t>
            </w:r>
          </w:p>
          <w:p w14:paraId="374989AE" w14:textId="557BF78E" w:rsidR="00664624" w:rsidRPr="00664624" w:rsidRDefault="00397D3F" w:rsidP="00E63D0C">
            <w:pPr>
              <w:pStyle w:val="NormalWeb"/>
              <w:shd w:val="clear" w:color="auto" w:fill="FFFFFF"/>
              <w:spacing w:before="60" w:beforeAutospacing="0" w:after="60" w:afterAutospacing="0"/>
              <w:ind w:left="139" w:right="129"/>
              <w:rPr>
                <w:color w:val="000000" w:themeColor="text1"/>
                <w:lang w:val="vi-VN"/>
              </w:rPr>
            </w:pPr>
            <w:r w:rsidRPr="00020B91">
              <w:rPr>
                <w:lang w:val="vi-VN"/>
              </w:rPr>
              <w:lastRenderedPageBreak/>
              <w:t xml:space="preserve">2. </w:t>
            </w:r>
            <w:r w:rsidR="00020B91" w:rsidRPr="00020B91">
              <w:t>Mức hỗ trợ đối với các trường hợp động vật, sản phẩm động vật buộc phải tiêu hủy do dịch bệnh từ ngày 25 tháng 7 năm 2025 đến trước ngày Nghị quyết này có hiệu lực thì áp dụng mức hỗ trợ theo quy định tại Nghị định số 116/2025/NĐ-CP</w:t>
            </w:r>
            <w:r w:rsidRPr="00020B91">
              <w:rPr>
                <w:lang w:val="vi-VN"/>
              </w:rPr>
              <w:t>.</w:t>
            </w:r>
          </w:p>
        </w:tc>
        <w:tc>
          <w:tcPr>
            <w:tcW w:w="909" w:type="pct"/>
            <w:shd w:val="clear" w:color="auto" w:fill="FFFFFF"/>
            <w:vAlign w:val="center"/>
          </w:tcPr>
          <w:p w14:paraId="1B33BAE5" w14:textId="3C28961A" w:rsidR="00664624" w:rsidRPr="00397D3F" w:rsidRDefault="00397D3F"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397D3F">
              <w:rPr>
                <w:rFonts w:ascii="Times New Roman" w:hAnsi="Times New Roman" w:cs="Times New Roman"/>
                <w:color w:val="000000" w:themeColor="text1"/>
                <w:sz w:val="24"/>
                <w:szCs w:val="24"/>
                <w:lang w:val="vi-VN"/>
              </w:rPr>
              <w:lastRenderedPageBreak/>
              <w:t>Nghị định số 116/2025/NĐ-CP có hiệu lực thi hành từ ngày 25/07/2025, tuy nhiên đến nay Nghị quyết quy định</w:t>
            </w:r>
            <w:r w:rsidRPr="00397D3F">
              <w:rPr>
                <w:lang w:val="vi-VN"/>
              </w:rPr>
              <w:t xml:space="preserve"> </w:t>
            </w:r>
            <w:r w:rsidRPr="00397D3F">
              <w:rPr>
                <w:rFonts w:ascii="Times New Roman" w:hAnsi="Times New Roman" w:cs="Times New Roman"/>
                <w:color w:val="000000" w:themeColor="text1"/>
                <w:sz w:val="24"/>
                <w:szCs w:val="24"/>
                <w:lang w:val="vi-VN"/>
              </w:rPr>
              <w:t xml:space="preserve">mức hỗ trợ khắc phục dịch </w:t>
            </w:r>
            <w:r w:rsidRPr="00397D3F">
              <w:rPr>
                <w:rFonts w:ascii="Times New Roman" w:hAnsi="Times New Roman" w:cs="Times New Roman"/>
                <w:color w:val="000000" w:themeColor="text1"/>
                <w:sz w:val="24"/>
                <w:szCs w:val="24"/>
                <w:lang w:val="vi-VN"/>
              </w:rPr>
              <w:lastRenderedPageBreak/>
              <w:t>bệnh động vật trên địa bàn tỉnh An Giang mới ban hành, do đó cần thiết phải quy định chuyển tiếp đối với các trường hợp động vật, sản phẩm động vật buộc phải tiêu hủy do dịch bệnh từ ngày 25 tháng 7 năm 2025 đến trước ngày Nghị quyết này có hiệu lực, đồng thời Nghị định số 116/2025/NĐ-CP có hiệu lực thi hành từ ngày 25/07/202</w:t>
            </w:r>
            <w:r w:rsidR="00020B91">
              <w:rPr>
                <w:rFonts w:ascii="Times New Roman" w:hAnsi="Times New Roman" w:cs="Times New Roman"/>
                <w:color w:val="000000" w:themeColor="text1"/>
                <w:sz w:val="24"/>
                <w:szCs w:val="24"/>
                <w:lang w:val="vi-VN"/>
              </w:rPr>
              <w:t>5</w:t>
            </w:r>
            <w:r w:rsidRPr="00397D3F">
              <w:rPr>
                <w:rFonts w:ascii="Times New Roman" w:hAnsi="Times New Roman" w:cs="Times New Roman"/>
                <w:color w:val="000000" w:themeColor="text1"/>
                <w:sz w:val="24"/>
                <w:szCs w:val="24"/>
                <w:lang w:val="vi-VN"/>
              </w:rPr>
              <w:t xml:space="preserve">, do đó đơn vị soạn thảo căn cứ vào mức hỗ trợ tại Nghị định số 116/2025/NĐ-CP </w:t>
            </w:r>
            <w:r w:rsidR="00020B91">
              <w:rPr>
                <w:rFonts w:ascii="Times New Roman" w:hAnsi="Times New Roman" w:cs="Times New Roman"/>
                <w:color w:val="000000" w:themeColor="text1"/>
                <w:sz w:val="24"/>
                <w:szCs w:val="24"/>
                <w:lang w:val="vi-VN"/>
              </w:rPr>
              <w:t>làm cơ</w:t>
            </w:r>
            <w:r w:rsidRPr="00397D3F">
              <w:rPr>
                <w:rFonts w:ascii="Times New Roman" w:hAnsi="Times New Roman" w:cs="Times New Roman"/>
                <w:color w:val="000000" w:themeColor="text1"/>
                <w:sz w:val="24"/>
                <w:szCs w:val="24"/>
                <w:lang w:val="vi-VN"/>
              </w:rPr>
              <w:t xml:space="preserve"> sở hỗ trợ đối với các đối tượng này.</w:t>
            </w:r>
          </w:p>
        </w:tc>
      </w:tr>
      <w:tr w:rsidR="00664624" w:rsidRPr="00397D3F" w14:paraId="409C5079" w14:textId="77777777" w:rsidTr="00CC7F2B">
        <w:trPr>
          <w:trHeight w:val="20"/>
          <w:jc w:val="center"/>
        </w:trPr>
        <w:tc>
          <w:tcPr>
            <w:tcW w:w="2045" w:type="pct"/>
            <w:shd w:val="clear" w:color="auto" w:fill="FFFFFF"/>
          </w:tcPr>
          <w:p w14:paraId="4A2F6482" w14:textId="77777777" w:rsidR="00664624" w:rsidRPr="00397D3F" w:rsidRDefault="001170CB" w:rsidP="00E63D0C">
            <w:pPr>
              <w:spacing w:before="60" w:after="60" w:line="240" w:lineRule="auto"/>
              <w:ind w:left="121" w:right="125"/>
              <w:rPr>
                <w:rFonts w:ascii="Times New Roman" w:hAnsi="Times New Roman" w:cs="Times New Roman"/>
                <w:b/>
                <w:bCs/>
                <w:color w:val="000000" w:themeColor="text1"/>
                <w:sz w:val="24"/>
                <w:szCs w:val="24"/>
                <w:lang w:val="vi-VN"/>
              </w:rPr>
            </w:pPr>
            <w:r w:rsidRPr="00397D3F">
              <w:rPr>
                <w:rFonts w:ascii="Times New Roman" w:hAnsi="Times New Roman" w:cs="Times New Roman"/>
                <w:b/>
                <w:bCs/>
                <w:color w:val="000000" w:themeColor="text1"/>
                <w:sz w:val="24"/>
                <w:szCs w:val="24"/>
                <w:lang w:val="vi-VN"/>
              </w:rPr>
              <w:lastRenderedPageBreak/>
              <w:t>Điều 12</w:t>
            </w:r>
          </w:p>
          <w:p w14:paraId="5D3B6BA7" w14:textId="77777777" w:rsidR="001170CB" w:rsidRPr="00397D3F" w:rsidRDefault="001170CB" w:rsidP="00E63D0C">
            <w:pPr>
              <w:spacing w:before="60" w:after="60" w:line="240" w:lineRule="auto"/>
              <w:ind w:left="121" w:right="125"/>
              <w:jc w:val="both"/>
              <w:rPr>
                <w:rFonts w:ascii="Times New Roman" w:hAnsi="Times New Roman" w:cs="Times New Roman"/>
                <w:b/>
                <w:bCs/>
                <w:i/>
                <w:iCs/>
                <w:color w:val="000000" w:themeColor="text1"/>
                <w:sz w:val="24"/>
                <w:szCs w:val="24"/>
                <w:lang w:val="vi-VN"/>
              </w:rPr>
            </w:pPr>
            <w:r w:rsidRPr="00397D3F">
              <w:rPr>
                <w:rFonts w:ascii="Times New Roman" w:hAnsi="Times New Roman" w:cs="Times New Roman"/>
                <w:b/>
                <w:bCs/>
                <w:i/>
                <w:iCs/>
                <w:color w:val="000000" w:themeColor="text1"/>
                <w:sz w:val="24"/>
                <w:szCs w:val="24"/>
                <w:lang w:val="vi-VN"/>
              </w:rPr>
              <w:t xml:space="preserve">“Điều 12. Trách nhiệm của Ủy ban nhân dân cấp tỉnh </w:t>
            </w:r>
          </w:p>
          <w:p w14:paraId="10FEE06F" w14:textId="289939B8"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1. Chỉ đạo, tổ chức triển khai thực hiện, kiểm tra, giám sát, đánh giá việc thực hiện chính sách quy định tại Nghị định này tại địa phương và định kỳ báo cáo kết quả theo quy định. </w:t>
            </w:r>
          </w:p>
          <w:p w14:paraId="7E267537" w14:textId="7AE2DA8D"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2. Chỉ đạo, phân cấp cơ quan có thẩm quyền tại địa phương thực hiện, tổng hợp nhu cầu, thẩm định hồ sơ, phê duyệt kinh phí hỗ trợ, kiểm tra và giám sát việc thực hiện chính sách. </w:t>
            </w:r>
          </w:p>
          <w:p w14:paraId="33353E9C" w14:textId="2CBDF51B"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3. Căn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 </w:t>
            </w:r>
          </w:p>
          <w:p w14:paraId="023A7EE2" w14:textId="77777777"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lastRenderedPageBreak/>
              <w:t>a) Mức hỗ trợ đối với động vật, sản phẩm động vật khác chưa được quy định tại Điều 6 Nghị định này;</w:t>
            </w:r>
          </w:p>
          <w:p w14:paraId="183BD5D8" w14:textId="5A0C057F"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b) Mức hỗ trợ đối với động vật, sản phẩm động vật quy định tại Điều 6 Nghị định này cho phù hợp với thực tế địa phương nhưng tối đa không vượt quá 1,5 lần mức hỗ trợ quy định tại Nghị định này;  </w:t>
            </w:r>
          </w:p>
          <w:p w14:paraId="4B45A915" w14:textId="1A3BB17B"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c) Hỗ trợ đối với doanh nghiệp nhỏ và vừa theo mức hỗ trợ quy định tại Nghị định này; </w:t>
            </w:r>
          </w:p>
          <w:p w14:paraId="00BAE67A" w14:textId="4EDC5F59"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d) Mức hỗ trợ cho người tham gia khắc phục dịch bệnh động vật trên địa bàn phù hợp với thực tế địa phương nhưng tối đa không vượt quá 02 lần mức hỗ trợ quy định tại Điều 7 Nghị định này. </w:t>
            </w:r>
          </w:p>
          <w:p w14:paraId="71734744" w14:textId="57C60F4A"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4. Đảm bảo kinh phí quy định tại điểm a, điểm c khoản 3 Điều này và phần kinh phí tăng thêm so với quy định tại Điều 6, Điều 7 Nghị định này, ngân sách trung ương không hỗ trợ. </w:t>
            </w:r>
          </w:p>
          <w:p w14:paraId="1CB4F3F5" w14:textId="56A1EFC6"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5. Tổng hợp báo cáo, đề xuất nhu cầu hỗ trợ từ ngân sách trung ương gửi Bộ Tài chính, Bộ Nông nghiệp và Môi trường và chịu trách nhiệm về tính chính xác của số liệu báo cáo.  </w:t>
            </w:r>
          </w:p>
          <w:p w14:paraId="3ED525AF" w14:textId="62162AEF"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6. Tổ chức tuyên truyền, phổ biến nội dung Nghị định này đến các cấp, các ngành, tổ chức, cá nhân tham gia hoạt động chăn nuôi, nuôi trồng thủy sản trên địa bàn tỉnh. Chỉ đạo Ủy ban nhân dân cấp xã thực hiện công khai chính sách và mức hỗ trợ trên các phương tiện thông tin đại chúng và tại thôn, ấp, bản, bảo đảm hỗ trợ trực tiếp đến cơ sở sản xuất có hoạt động chăn nuôi, nuôi trồng thủy sản bị thiệt hại. </w:t>
            </w:r>
          </w:p>
          <w:p w14:paraId="2A00D628" w14:textId="42FAC9DA"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7. Tổ chức xây dựng Kế hoạch phòng, chống dịch bệnh động vật của địa phương; phê duyệt và bố trí kinh phí, nguồn lực để triển khai thực hiện Kế hoạch trong đó phải lưu ý đảm bảo các nguồn lực (nhiên liệu, vật tư, dụng cụ, bảo hộ, thuê máy móc, phương tiện cơ giới) để tiêu hủy, bắt giữ, giết mổ bắt buộc động vật, sản phẩm động vật do dịch bệnh động vật. </w:t>
            </w:r>
          </w:p>
          <w:p w14:paraId="791C7F11" w14:textId="71C444EE" w:rsidR="001170CB" w:rsidRPr="00397D3F" w:rsidRDefault="001170CB" w:rsidP="00E63D0C">
            <w:pPr>
              <w:spacing w:before="60" w:after="60" w:line="240" w:lineRule="auto"/>
              <w:ind w:left="121" w:right="125"/>
              <w:jc w:val="both"/>
              <w:rPr>
                <w:rFonts w:ascii="Times New Roman" w:hAnsi="Times New Roman" w:cs="Times New Roman"/>
                <w:i/>
                <w:iCs/>
                <w:color w:val="000000" w:themeColor="text1"/>
                <w:sz w:val="24"/>
                <w:szCs w:val="24"/>
                <w:lang w:val="vi-VN"/>
              </w:rPr>
            </w:pPr>
            <w:r w:rsidRPr="00397D3F">
              <w:rPr>
                <w:rFonts w:ascii="Times New Roman" w:hAnsi="Times New Roman" w:cs="Times New Roman"/>
                <w:i/>
                <w:iCs/>
                <w:color w:val="000000" w:themeColor="text1"/>
                <w:sz w:val="24"/>
                <w:szCs w:val="24"/>
                <w:lang w:val="vi-VN"/>
              </w:rPr>
              <w:t xml:space="preserve">8. Kết thúc đợt dịch bệnh hoặc cuối năm, có báo cáo bằng văn bản về kết quả thực hiện gửi Bộ Nông nghiệp và Môi trường, Bộ </w:t>
            </w:r>
            <w:r w:rsidRPr="00397D3F">
              <w:rPr>
                <w:rFonts w:ascii="Times New Roman" w:hAnsi="Times New Roman" w:cs="Times New Roman"/>
                <w:i/>
                <w:iCs/>
                <w:color w:val="000000" w:themeColor="text1"/>
                <w:sz w:val="24"/>
                <w:szCs w:val="24"/>
                <w:lang w:val="vi-VN"/>
              </w:rPr>
              <w:lastRenderedPageBreak/>
              <w:t xml:space="preserve">Tài chính và các bộ, cơ quan có liên quan tổng hợp, báo cáo Thủ tướng Chính phủ theo chức năng, nhiệm vụ. </w:t>
            </w:r>
          </w:p>
          <w:p w14:paraId="61B49B53" w14:textId="34E14875" w:rsidR="001170CB" w:rsidRPr="00397D3F" w:rsidRDefault="001170CB" w:rsidP="00E63D0C">
            <w:pPr>
              <w:spacing w:before="60" w:after="60" w:line="240" w:lineRule="auto"/>
              <w:ind w:left="121" w:right="125"/>
              <w:jc w:val="both"/>
              <w:rPr>
                <w:rFonts w:ascii="Times New Roman" w:hAnsi="Times New Roman" w:cs="Times New Roman"/>
                <w:b/>
                <w:bCs/>
                <w:color w:val="000000" w:themeColor="text1"/>
                <w:sz w:val="24"/>
                <w:szCs w:val="24"/>
                <w:lang w:val="vi-VN"/>
              </w:rPr>
            </w:pPr>
            <w:r w:rsidRPr="00397D3F">
              <w:rPr>
                <w:rFonts w:ascii="Times New Roman" w:hAnsi="Times New Roman" w:cs="Times New Roman"/>
                <w:i/>
                <w:iCs/>
                <w:color w:val="000000" w:themeColor="text1"/>
                <w:sz w:val="24"/>
                <w:szCs w:val="24"/>
                <w:lang w:val="vi-VN"/>
              </w:rPr>
              <w:t>9. Chủ tịch Ủy ban nhân dân các tỉnh, thành phố trực thuộc trung ương chịu trách nhiệm trước pháp luật, Chính phủ, Thủ tướng Chính phủ về việc tổ chức hỗ trợ, kiểm tra, giám sát việc hỗ trợ phòng, chống dịch bệnh động vật tại địa phương thuộc thẩm quyền quản lý.”</w:t>
            </w:r>
          </w:p>
        </w:tc>
        <w:tc>
          <w:tcPr>
            <w:tcW w:w="2046" w:type="pct"/>
            <w:shd w:val="clear" w:color="auto" w:fill="FFFFFF"/>
          </w:tcPr>
          <w:p w14:paraId="21E1EA3C" w14:textId="77777777" w:rsidR="00664624" w:rsidRPr="00664624" w:rsidRDefault="00664624" w:rsidP="00E63D0C">
            <w:pPr>
              <w:pStyle w:val="NormalWeb"/>
              <w:shd w:val="clear" w:color="auto" w:fill="FFFFFF"/>
              <w:spacing w:before="60" w:beforeAutospacing="0" w:after="60" w:afterAutospacing="0"/>
              <w:ind w:left="139" w:right="129"/>
              <w:rPr>
                <w:b/>
                <w:bCs/>
                <w:color w:val="000000" w:themeColor="text1"/>
                <w:lang w:val="vi-VN"/>
              </w:rPr>
            </w:pPr>
            <w:r w:rsidRPr="00664624">
              <w:rPr>
                <w:b/>
                <w:bCs/>
                <w:color w:val="000000" w:themeColor="text1"/>
                <w:lang w:val="vi-VN"/>
              </w:rPr>
              <w:lastRenderedPageBreak/>
              <w:t>Điều 6. Tổ chức thực hiện</w:t>
            </w:r>
          </w:p>
          <w:p w14:paraId="2569CA35" w14:textId="315D4384"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1. Hội đồng nhân dân tỉnh giao Ủy ban nhân dân tỉnh triển khai thực hiện Nghị quyết này.</w:t>
            </w:r>
          </w:p>
          <w:p w14:paraId="68B7B2EA" w14:textId="6E5F26E2" w:rsidR="00664624" w:rsidRPr="00664624" w:rsidRDefault="00664624" w:rsidP="00E63D0C">
            <w:pPr>
              <w:pStyle w:val="NormalWeb"/>
              <w:shd w:val="clear" w:color="auto" w:fill="FFFFFF"/>
              <w:spacing w:before="60" w:beforeAutospacing="0" w:after="60" w:afterAutospacing="0"/>
              <w:ind w:left="139" w:right="129"/>
              <w:rPr>
                <w:color w:val="000000" w:themeColor="text1"/>
                <w:lang w:val="vi-VN"/>
              </w:rPr>
            </w:pPr>
            <w:r w:rsidRPr="00664624">
              <w:rPr>
                <w:color w:val="000000" w:themeColor="text1"/>
                <w:lang w:val="vi-VN"/>
              </w:rPr>
              <w:t>2. Thường trực Hội đồng nhân dân, các Ban của Hội đồng nhân dân, các Tổ đại biểu và đại biểu Hội đồng nhân dân tỉnh giám sát việc thực hiện Nghịquyết này.</w:t>
            </w:r>
          </w:p>
        </w:tc>
        <w:tc>
          <w:tcPr>
            <w:tcW w:w="909" w:type="pct"/>
            <w:shd w:val="clear" w:color="auto" w:fill="FFFFFF"/>
            <w:vAlign w:val="center"/>
          </w:tcPr>
          <w:p w14:paraId="6A57AD32" w14:textId="4BF9860B" w:rsidR="00664624" w:rsidRPr="00E33E25" w:rsidRDefault="001170CB" w:rsidP="00E63D0C">
            <w:pPr>
              <w:spacing w:before="60" w:after="60" w:line="240" w:lineRule="auto"/>
              <w:ind w:left="130" w:right="133"/>
              <w:jc w:val="both"/>
              <w:rPr>
                <w:rFonts w:ascii="Times New Roman" w:hAnsi="Times New Roman" w:cs="Times New Roman"/>
                <w:color w:val="000000" w:themeColor="text1"/>
                <w:sz w:val="24"/>
                <w:szCs w:val="24"/>
                <w:lang w:val="vi-VN"/>
              </w:rPr>
            </w:pPr>
            <w:r w:rsidRPr="001170CB">
              <w:rPr>
                <w:rFonts w:ascii="Times New Roman" w:hAnsi="Times New Roman" w:cs="Times New Roman"/>
                <w:color w:val="000000" w:themeColor="text1"/>
                <w:sz w:val="24"/>
                <w:szCs w:val="24"/>
                <w:lang w:val="vi-VN"/>
              </w:rPr>
              <w:t>Nội dung của dự thảo phù hợp với quy định tại Điều 12 Nghị định số 116/2025/NĐ-CP ngày 05/6/2025 của Chính phủ và các quy định pháp luật hiện hành.</w:t>
            </w:r>
          </w:p>
        </w:tc>
      </w:tr>
    </w:tbl>
    <w:p w14:paraId="3385F775" w14:textId="77777777" w:rsidR="00A63E68" w:rsidRPr="00E33E25" w:rsidRDefault="00A63E68" w:rsidP="00111A14">
      <w:pPr>
        <w:spacing w:before="100" w:beforeAutospacing="1" w:after="100" w:afterAutospacing="1" w:line="240" w:lineRule="auto"/>
        <w:ind w:firstLine="720"/>
        <w:jc w:val="both"/>
        <w:rPr>
          <w:rFonts w:ascii="Times New Roman" w:eastAsia="Times New Roman" w:hAnsi="Times New Roman" w:cs="Times New Roman"/>
          <w:color w:val="000000" w:themeColor="text1"/>
          <w:sz w:val="28"/>
          <w:szCs w:val="28"/>
          <w:lang w:val="vi-VN"/>
        </w:rPr>
      </w:pPr>
    </w:p>
    <w:p w14:paraId="4FCE69B4" w14:textId="77777777" w:rsidR="00A730D8" w:rsidRPr="00E33E25" w:rsidRDefault="00A730D8" w:rsidP="00A730D8">
      <w:pPr>
        <w:spacing w:before="100" w:beforeAutospacing="1" w:after="120" w:line="240" w:lineRule="auto"/>
        <w:ind w:firstLine="720"/>
        <w:jc w:val="both"/>
        <w:rPr>
          <w:rFonts w:ascii="Times New Roman" w:eastAsia="Times New Roman" w:hAnsi="Times New Roman" w:cs="Times New Roman"/>
          <w:b/>
          <w:bCs/>
          <w:color w:val="000000" w:themeColor="text1"/>
          <w:sz w:val="28"/>
          <w:szCs w:val="28"/>
          <w:lang w:val="vi-VN"/>
        </w:rPr>
      </w:pPr>
    </w:p>
    <w:sectPr w:rsidR="00A730D8" w:rsidRPr="00E33E25" w:rsidSect="00E63D0C">
      <w:pgSz w:w="16840" w:h="11907" w:orient="landscape" w:code="9"/>
      <w:pgMar w:top="1134" w:right="1134" w:bottom="1134" w:left="1134"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F76"/>
    <w:multiLevelType w:val="hybridMultilevel"/>
    <w:tmpl w:val="BD6E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50494"/>
    <w:multiLevelType w:val="hybridMultilevel"/>
    <w:tmpl w:val="61928076"/>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25061"/>
    <w:multiLevelType w:val="hybridMultilevel"/>
    <w:tmpl w:val="5002C0CE"/>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C2138"/>
    <w:multiLevelType w:val="hybridMultilevel"/>
    <w:tmpl w:val="BF00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975D7"/>
    <w:multiLevelType w:val="multilevel"/>
    <w:tmpl w:val="1D30F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46D84"/>
    <w:multiLevelType w:val="hybridMultilevel"/>
    <w:tmpl w:val="39DAC766"/>
    <w:lvl w:ilvl="0" w:tplc="F59AAE9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5FFA34D4"/>
    <w:multiLevelType w:val="hybridMultilevel"/>
    <w:tmpl w:val="9382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C4A7B"/>
    <w:multiLevelType w:val="hybridMultilevel"/>
    <w:tmpl w:val="0B00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270320">
    <w:abstractNumId w:val="5"/>
  </w:num>
  <w:num w:numId="2" w16cid:durableId="1328287183">
    <w:abstractNumId w:val="7"/>
  </w:num>
  <w:num w:numId="3" w16cid:durableId="1758868596">
    <w:abstractNumId w:val="2"/>
  </w:num>
  <w:num w:numId="4" w16cid:durableId="1324435993">
    <w:abstractNumId w:val="4"/>
  </w:num>
  <w:num w:numId="5" w16cid:durableId="301811378">
    <w:abstractNumId w:val="1"/>
  </w:num>
  <w:num w:numId="6" w16cid:durableId="207304431">
    <w:abstractNumId w:val="6"/>
  </w:num>
  <w:num w:numId="7" w16cid:durableId="339088427">
    <w:abstractNumId w:val="3"/>
  </w:num>
  <w:num w:numId="8" w16cid:durableId="31287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D8"/>
    <w:rsid w:val="00020B91"/>
    <w:rsid w:val="0003012B"/>
    <w:rsid w:val="00051BD5"/>
    <w:rsid w:val="00091C39"/>
    <w:rsid w:val="00092D83"/>
    <w:rsid w:val="000C09B3"/>
    <w:rsid w:val="00111A14"/>
    <w:rsid w:val="001170CB"/>
    <w:rsid w:val="00141663"/>
    <w:rsid w:val="00142A9C"/>
    <w:rsid w:val="001638B5"/>
    <w:rsid w:val="00165A3B"/>
    <w:rsid w:val="001F1AC4"/>
    <w:rsid w:val="00206D58"/>
    <w:rsid w:val="00247C9A"/>
    <w:rsid w:val="00262612"/>
    <w:rsid w:val="002C38CD"/>
    <w:rsid w:val="002D3BCE"/>
    <w:rsid w:val="002F1488"/>
    <w:rsid w:val="002F7EF1"/>
    <w:rsid w:val="0031675C"/>
    <w:rsid w:val="00355E91"/>
    <w:rsid w:val="00397D3F"/>
    <w:rsid w:val="00401E4F"/>
    <w:rsid w:val="00424E34"/>
    <w:rsid w:val="00432102"/>
    <w:rsid w:val="00443DAA"/>
    <w:rsid w:val="0046165C"/>
    <w:rsid w:val="00481F45"/>
    <w:rsid w:val="00496EC9"/>
    <w:rsid w:val="004A5D0F"/>
    <w:rsid w:val="004B7B82"/>
    <w:rsid w:val="005272D5"/>
    <w:rsid w:val="00547E55"/>
    <w:rsid w:val="00554C35"/>
    <w:rsid w:val="00574C11"/>
    <w:rsid w:val="00597DB7"/>
    <w:rsid w:val="005B56CB"/>
    <w:rsid w:val="005E7A0E"/>
    <w:rsid w:val="00600A8A"/>
    <w:rsid w:val="00600ACC"/>
    <w:rsid w:val="00620D15"/>
    <w:rsid w:val="00625973"/>
    <w:rsid w:val="006502E6"/>
    <w:rsid w:val="00664624"/>
    <w:rsid w:val="0066795C"/>
    <w:rsid w:val="00687EC1"/>
    <w:rsid w:val="006C1D63"/>
    <w:rsid w:val="006E5880"/>
    <w:rsid w:val="00716BF1"/>
    <w:rsid w:val="007311BA"/>
    <w:rsid w:val="007776AC"/>
    <w:rsid w:val="00807619"/>
    <w:rsid w:val="00816F90"/>
    <w:rsid w:val="00846404"/>
    <w:rsid w:val="00866B38"/>
    <w:rsid w:val="008708E4"/>
    <w:rsid w:val="0089183E"/>
    <w:rsid w:val="008E4C8F"/>
    <w:rsid w:val="00902C32"/>
    <w:rsid w:val="00926A95"/>
    <w:rsid w:val="00957F9B"/>
    <w:rsid w:val="0097253D"/>
    <w:rsid w:val="009E6B5F"/>
    <w:rsid w:val="00A25EBA"/>
    <w:rsid w:val="00A3099B"/>
    <w:rsid w:val="00A63E68"/>
    <w:rsid w:val="00A730D8"/>
    <w:rsid w:val="00A921BB"/>
    <w:rsid w:val="00A97627"/>
    <w:rsid w:val="00AB7273"/>
    <w:rsid w:val="00AD4572"/>
    <w:rsid w:val="00AE49CF"/>
    <w:rsid w:val="00AF5251"/>
    <w:rsid w:val="00B009B4"/>
    <w:rsid w:val="00B04CBA"/>
    <w:rsid w:val="00B139A1"/>
    <w:rsid w:val="00B55B6B"/>
    <w:rsid w:val="00B93E1B"/>
    <w:rsid w:val="00BC1070"/>
    <w:rsid w:val="00BE00FF"/>
    <w:rsid w:val="00BF7B37"/>
    <w:rsid w:val="00C175A2"/>
    <w:rsid w:val="00C4399E"/>
    <w:rsid w:val="00C50595"/>
    <w:rsid w:val="00C91C45"/>
    <w:rsid w:val="00CB4022"/>
    <w:rsid w:val="00CC7F2B"/>
    <w:rsid w:val="00CD79C3"/>
    <w:rsid w:val="00D0088E"/>
    <w:rsid w:val="00DD0233"/>
    <w:rsid w:val="00DD5644"/>
    <w:rsid w:val="00E233EC"/>
    <w:rsid w:val="00E32A48"/>
    <w:rsid w:val="00E33E25"/>
    <w:rsid w:val="00E63D0C"/>
    <w:rsid w:val="00E65EE3"/>
    <w:rsid w:val="00E907A2"/>
    <w:rsid w:val="00E9700D"/>
    <w:rsid w:val="00EA54B6"/>
    <w:rsid w:val="00F63C1C"/>
    <w:rsid w:val="00F64BBB"/>
    <w:rsid w:val="00FA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B12"/>
  <w15:chartTrackingRefBased/>
  <w15:docId w15:val="{C31E3069-AC66-4639-93D4-4BF85D09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68"/>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표준 (웹)"/>
    <w:basedOn w:val="Normal"/>
    <w:link w:val="NormalWebChar"/>
    <w:uiPriority w:val="99"/>
    <w:rsid w:val="00AB72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
    <w:name w:val="Normal (Web) Char"/>
    <w:aliases w:val="표준 (웹) Char"/>
    <w:link w:val="NormalWeb"/>
    <w:uiPriority w:val="99"/>
    <w:locked/>
    <w:rsid w:val="00AB7273"/>
    <w:rPr>
      <w:rFonts w:ascii="Times New Roman" w:eastAsia="Times New Roman" w:hAnsi="Times New Roman" w:cs="Times New Roman"/>
      <w:sz w:val="24"/>
      <w:szCs w:val="24"/>
    </w:rPr>
  </w:style>
  <w:style w:type="paragraph" w:styleId="ListParagraph">
    <w:name w:val="List Paragraph"/>
    <w:basedOn w:val="Normal"/>
    <w:uiPriority w:val="34"/>
    <w:qFormat/>
    <w:rsid w:val="009E6B5F"/>
    <w:pPr>
      <w:ind w:left="720"/>
      <w:contextualSpacing/>
    </w:pPr>
  </w:style>
  <w:style w:type="character" w:styleId="Hyperlink">
    <w:name w:val="Hyperlink"/>
    <w:rsid w:val="008708E4"/>
    <w:rPr>
      <w:color w:val="0000FF"/>
      <w:u w:val="single"/>
    </w:rPr>
  </w:style>
  <w:style w:type="paragraph" w:customStyle="1" w:styleId="DefaultParagraphFontParaCharCharCharCharChar">
    <w:name w:val="Default Paragraph Font Para Char Char Char Char Char"/>
    <w:autoRedefine/>
    <w:rsid w:val="00142A9C"/>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687E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54B6"/>
    <w:rPr>
      <w:sz w:val="16"/>
      <w:szCs w:val="16"/>
    </w:rPr>
  </w:style>
  <w:style w:type="paragraph" w:styleId="CommentText">
    <w:name w:val="annotation text"/>
    <w:basedOn w:val="Normal"/>
    <w:link w:val="CommentTextChar"/>
    <w:uiPriority w:val="99"/>
    <w:semiHidden/>
    <w:unhideWhenUsed/>
    <w:rsid w:val="00EA54B6"/>
    <w:pPr>
      <w:spacing w:line="240" w:lineRule="auto"/>
    </w:pPr>
    <w:rPr>
      <w:sz w:val="20"/>
      <w:szCs w:val="20"/>
    </w:rPr>
  </w:style>
  <w:style w:type="character" w:customStyle="1" w:styleId="CommentTextChar">
    <w:name w:val="Comment Text Char"/>
    <w:basedOn w:val="DefaultParagraphFont"/>
    <w:link w:val="CommentText"/>
    <w:uiPriority w:val="99"/>
    <w:semiHidden/>
    <w:rsid w:val="00EA54B6"/>
    <w:rPr>
      <w:sz w:val="20"/>
      <w:szCs w:val="20"/>
    </w:rPr>
  </w:style>
  <w:style w:type="paragraph" w:styleId="CommentSubject">
    <w:name w:val="annotation subject"/>
    <w:basedOn w:val="CommentText"/>
    <w:next w:val="CommentText"/>
    <w:link w:val="CommentSubjectChar"/>
    <w:uiPriority w:val="99"/>
    <w:semiHidden/>
    <w:unhideWhenUsed/>
    <w:rsid w:val="00EA54B6"/>
    <w:rPr>
      <w:b/>
      <w:bCs/>
    </w:rPr>
  </w:style>
  <w:style w:type="character" w:customStyle="1" w:styleId="CommentSubjectChar">
    <w:name w:val="Comment Subject Char"/>
    <w:basedOn w:val="CommentTextChar"/>
    <w:link w:val="CommentSubject"/>
    <w:uiPriority w:val="99"/>
    <w:semiHidden/>
    <w:rsid w:val="00EA54B6"/>
    <w:rPr>
      <w:b/>
      <w:bCs/>
      <w:sz w:val="20"/>
      <w:szCs w:val="20"/>
    </w:rPr>
  </w:style>
  <w:style w:type="paragraph" w:styleId="BalloonText">
    <w:name w:val="Balloon Text"/>
    <w:basedOn w:val="Normal"/>
    <w:link w:val="BalloonTextChar"/>
    <w:uiPriority w:val="99"/>
    <w:semiHidden/>
    <w:unhideWhenUsed/>
    <w:rsid w:val="002C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12612">
      <w:bodyDiv w:val="1"/>
      <w:marLeft w:val="0"/>
      <w:marRight w:val="0"/>
      <w:marTop w:val="0"/>
      <w:marBottom w:val="0"/>
      <w:divBdr>
        <w:top w:val="none" w:sz="0" w:space="0" w:color="auto"/>
        <w:left w:val="none" w:sz="0" w:space="0" w:color="auto"/>
        <w:bottom w:val="none" w:sz="0" w:space="0" w:color="auto"/>
        <w:right w:val="none" w:sz="0" w:space="0" w:color="auto"/>
      </w:divBdr>
    </w:div>
    <w:div w:id="14819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GIAU_PC</cp:lastModifiedBy>
  <cp:revision>3</cp:revision>
  <dcterms:created xsi:type="dcterms:W3CDTF">2025-11-10T04:57:00Z</dcterms:created>
  <dcterms:modified xsi:type="dcterms:W3CDTF">2025-11-10T05:06:00Z</dcterms:modified>
</cp:coreProperties>
</file>