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3227"/>
        <w:gridCol w:w="6061"/>
      </w:tblGrid>
      <w:tr w:rsidR="00921794" w:rsidRPr="00921794" w:rsidTr="00921794">
        <w:trPr>
          <w:trHeight w:val="737"/>
          <w:jc w:val="center"/>
        </w:trPr>
        <w:tc>
          <w:tcPr>
            <w:tcW w:w="3227" w:type="dxa"/>
            <w:shd w:val="clear" w:color="auto" w:fill="auto"/>
          </w:tcPr>
          <w:p w:rsidR="00921794" w:rsidRPr="00921794" w:rsidRDefault="00921794" w:rsidP="00921794">
            <w:pPr>
              <w:jc w:val="center"/>
              <w:rPr>
                <w:szCs w:val="28"/>
                <w:lang w:val="vi-VN"/>
              </w:rPr>
            </w:pPr>
            <w:r w:rsidRPr="00921794">
              <w:rPr>
                <w:noProof/>
                <w:sz w:val="24"/>
              </w:rPr>
              <mc:AlternateContent>
                <mc:Choice Requires="wps">
                  <w:drawing>
                    <wp:anchor distT="0" distB="0" distL="114300" distR="114300" simplePos="0" relativeHeight="251667456" behindDoc="0" locked="0" layoutInCell="1" allowOverlap="1" wp14:anchorId="7DFD511A" wp14:editId="7A1D568A">
                      <wp:simplePos x="0" y="0"/>
                      <wp:positionH relativeFrom="margin">
                        <wp:align>center</wp:align>
                      </wp:positionH>
                      <wp:positionV relativeFrom="paragraph">
                        <wp:posOffset>411480</wp:posOffset>
                      </wp:positionV>
                      <wp:extent cx="798830" cy="0"/>
                      <wp:effectExtent l="10160" t="9525" r="10160" b="9525"/>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83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3017462" id="Straight Connector 1"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2.4pt" to="62.9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" strokeweight=".5pt">
                      <v:stroke joinstyle="miter"/>
                      <w10:wrap anchorx="margin"/>
                    </v:line>
                  </w:pict>
                </mc:Fallback>
              </mc:AlternateContent>
            </w:r>
            <w:r w:rsidRPr="00921794">
              <w:rPr>
                <w:b/>
                <w:szCs w:val="28"/>
                <w:lang w:val="vi-VN"/>
              </w:rPr>
              <w:t>ỦY BAN NHÂN DÂN TỈNH AN GIANG</w:t>
            </w:r>
          </w:p>
        </w:tc>
        <w:tc>
          <w:tcPr>
            <w:tcW w:w="6061" w:type="dxa"/>
            <w:shd w:val="clear" w:color="auto" w:fill="auto"/>
          </w:tcPr>
          <w:p w:rsidR="00921794" w:rsidRPr="00921794" w:rsidRDefault="00921794" w:rsidP="00921794">
            <w:pPr>
              <w:jc w:val="center"/>
              <w:rPr>
                <w:sz w:val="27"/>
                <w:szCs w:val="27"/>
                <w:lang w:val="vi-VN"/>
              </w:rPr>
            </w:pPr>
            <w:r w:rsidRPr="00921794">
              <w:rPr>
                <w:noProof/>
                <w:sz w:val="26"/>
              </w:rPr>
              <mc:AlternateContent>
                <mc:Choice Requires="wps">
                  <w:drawing>
                    <wp:anchor distT="0" distB="0" distL="114300" distR="114300" simplePos="0" relativeHeight="251666432" behindDoc="0" locked="0" layoutInCell="1" allowOverlap="1" wp14:anchorId="528DF553" wp14:editId="2B096179">
                      <wp:simplePos x="0" y="0"/>
                      <wp:positionH relativeFrom="margin">
                        <wp:align>center</wp:align>
                      </wp:positionH>
                      <wp:positionV relativeFrom="paragraph">
                        <wp:posOffset>434340</wp:posOffset>
                      </wp:positionV>
                      <wp:extent cx="2051050" cy="0"/>
                      <wp:effectExtent l="8255" t="11430" r="7620" b="762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C9F27" id="Straight Connector 7" o:spid="_x0000_s1026" style="position:absolute;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4.2pt" to="161.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" strokeweight=".5pt">
                      <v:stroke joinstyle="miter"/>
                      <w10:wrap anchorx="margin"/>
                    </v:line>
                  </w:pict>
                </mc:Fallback>
              </mc:AlternateContent>
            </w:r>
            <w:r w:rsidRPr="00921794">
              <w:rPr>
                <w:b/>
                <w:sz w:val="26"/>
                <w:szCs w:val="27"/>
                <w:lang w:val="vi-VN"/>
              </w:rPr>
              <w:t>CỘNG HÒA XÃ HỘI CHỦ NGHĨA VIỆT NAM</w:t>
            </w:r>
            <w:r w:rsidRPr="00921794">
              <w:rPr>
                <w:b/>
                <w:sz w:val="26"/>
                <w:szCs w:val="27"/>
                <w:lang w:val="vi-VN"/>
              </w:rPr>
              <w:br/>
            </w:r>
            <w:r w:rsidRPr="00921794">
              <w:rPr>
                <w:b/>
                <w:szCs w:val="28"/>
                <w:lang w:val="vi-VN"/>
              </w:rPr>
              <w:t>Độc lập - Tự do - Hạnh phúc</w:t>
            </w:r>
            <w:r w:rsidRPr="00921794">
              <w:rPr>
                <w:b/>
                <w:sz w:val="27"/>
                <w:szCs w:val="27"/>
                <w:lang w:val="vi-VN"/>
              </w:rPr>
              <w:t xml:space="preserve"> </w:t>
            </w:r>
          </w:p>
        </w:tc>
      </w:tr>
      <w:tr w:rsidR="00921794" w:rsidRPr="00921794" w:rsidTr="00921794">
        <w:trPr>
          <w:trHeight w:val="454"/>
          <w:jc w:val="center"/>
        </w:trPr>
        <w:tc>
          <w:tcPr>
            <w:tcW w:w="3227" w:type="dxa"/>
            <w:shd w:val="clear" w:color="auto" w:fill="auto"/>
            <w:vAlign w:val="center"/>
          </w:tcPr>
          <w:p w:rsidR="00921794" w:rsidRDefault="00921794" w:rsidP="00E24D01">
            <w:pPr>
              <w:jc w:val="center"/>
              <w:rPr>
                <w:sz w:val="26"/>
                <w:szCs w:val="26"/>
              </w:rPr>
            </w:pPr>
            <w:r w:rsidRPr="00921794">
              <w:rPr>
                <w:sz w:val="26"/>
                <w:szCs w:val="26"/>
                <w:lang w:val="vi-VN"/>
              </w:rPr>
              <w:t>Số:</w:t>
            </w:r>
            <w:r w:rsidRPr="00921794">
              <w:rPr>
                <w:sz w:val="26"/>
                <w:szCs w:val="26"/>
              </w:rPr>
              <w:t xml:space="preserve"> </w:t>
            </w:r>
            <w:r w:rsidR="002645C7">
              <w:rPr>
                <w:sz w:val="26"/>
                <w:szCs w:val="26"/>
              </w:rPr>
              <w:t xml:space="preserve">          </w:t>
            </w:r>
            <w:r w:rsidRPr="00921794">
              <w:rPr>
                <w:sz w:val="26"/>
                <w:szCs w:val="26"/>
                <w:lang w:val="vi-VN"/>
              </w:rPr>
              <w:t>/TTr-UBND</w:t>
            </w:r>
          </w:p>
          <w:p w:rsidR="0025781F" w:rsidRPr="0025781F" w:rsidRDefault="0025781F" w:rsidP="00E24D01">
            <w:pPr>
              <w:jc w:val="center"/>
              <w:rPr>
                <w:b/>
                <w:sz w:val="26"/>
                <w:szCs w:val="26"/>
              </w:rPr>
            </w:pPr>
            <w:r>
              <w:rPr>
                <w:noProof/>
                <w:sz w:val="26"/>
                <w:szCs w:val="26"/>
                <w:lang w:val="vi-VN"/>
              </w:rPr>
              <mc:AlternateContent>
                <mc:Choice Requires="wps">
                  <w:drawing>
                    <wp:anchor distT="0" distB="0" distL="114300" distR="114300" simplePos="0" relativeHeight="251658240" behindDoc="0" locked="0" layoutInCell="1" allowOverlap="1">
                      <wp:simplePos x="0" y="0"/>
                      <wp:positionH relativeFrom="column">
                        <wp:posOffset>454025</wp:posOffset>
                      </wp:positionH>
                      <wp:positionV relativeFrom="paragraph">
                        <wp:posOffset>76835</wp:posOffset>
                      </wp:positionV>
                      <wp:extent cx="1097280" cy="334010"/>
                      <wp:effectExtent l="0" t="0" r="26670" b="27940"/>
                      <wp:wrapNone/>
                      <wp:docPr id="16547471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334010"/>
                              </a:xfrm>
                              <a:prstGeom prst="rect">
                                <a:avLst/>
                              </a:prstGeom>
                              <a:solidFill>
                                <a:srgbClr val="FFFFFF"/>
                              </a:solidFill>
                              <a:ln w="12700">
                                <a:solidFill>
                                  <a:srgbClr val="000000"/>
                                </a:solidFill>
                                <a:miter lim="800000"/>
                                <a:headEnd/>
                                <a:tailEnd/>
                              </a:ln>
                            </wps:spPr>
                            <wps:txbx>
                              <w:txbxContent>
                                <w:p w:rsidR="0025781F" w:rsidRPr="00672F7B" w:rsidRDefault="0025781F" w:rsidP="0025781F">
                                  <w:pPr>
                                    <w:jc w:val="center"/>
                                    <w:rPr>
                                      <w:b/>
                                      <w:bCs/>
                                    </w:rPr>
                                  </w:pPr>
                                  <w:r w:rsidRPr="00672F7B">
                                    <w:rPr>
                                      <w:b/>
                                      <w:bCs/>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5.75pt;margin-top:6.05pt;width:86.4pt;height:2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" strokeweight="1pt">
                      <v:textbox>
                        <w:txbxContent>
                          <w:p w:rsidR="0025781F" w:rsidRPr="00672F7B" w:rsidRDefault="0025781F" w:rsidP="0025781F">
                            <w:pPr>
                              <w:jc w:val="center"/>
                              <w:rPr>
                                <w:b/>
                                <w:bCs/>
                              </w:rPr>
                            </w:pPr>
                            <w:r w:rsidRPr="00672F7B">
                              <w:rPr>
                                <w:b/>
                                <w:bCs/>
                              </w:rPr>
                              <w:t>DỰ THẢO</w:t>
                            </w:r>
                          </w:p>
                        </w:txbxContent>
                      </v:textbox>
                    </v:shape>
                  </w:pict>
                </mc:Fallback>
              </mc:AlternateContent>
            </w:r>
          </w:p>
        </w:tc>
        <w:tc>
          <w:tcPr>
            <w:tcW w:w="6061" w:type="dxa"/>
            <w:shd w:val="clear" w:color="auto" w:fill="auto"/>
            <w:vAlign w:val="center"/>
          </w:tcPr>
          <w:p w:rsidR="00921794" w:rsidRPr="00921794" w:rsidRDefault="00921794" w:rsidP="00E24D01">
            <w:pPr>
              <w:jc w:val="center"/>
              <w:rPr>
                <w:b/>
                <w:noProof/>
                <w:szCs w:val="28"/>
              </w:rPr>
            </w:pPr>
            <w:r w:rsidRPr="00921794">
              <w:rPr>
                <w:i/>
                <w:sz w:val="27"/>
                <w:szCs w:val="27"/>
                <w:lang w:val="vi-VN"/>
              </w:rPr>
              <w:t xml:space="preserve">         </w:t>
            </w:r>
            <w:r w:rsidRPr="00921794">
              <w:rPr>
                <w:i/>
                <w:szCs w:val="28"/>
                <w:lang w:val="vi-VN"/>
              </w:rPr>
              <w:t>An Giang, ngày</w:t>
            </w:r>
            <w:r>
              <w:rPr>
                <w:i/>
                <w:szCs w:val="28"/>
              </w:rPr>
              <w:t xml:space="preserve"> </w:t>
            </w:r>
            <w:r w:rsidR="002645C7">
              <w:rPr>
                <w:i/>
                <w:szCs w:val="28"/>
              </w:rPr>
              <w:t xml:space="preserve">      </w:t>
            </w:r>
            <w:r w:rsidR="00E24D01">
              <w:rPr>
                <w:i/>
                <w:szCs w:val="28"/>
              </w:rPr>
              <w:t xml:space="preserve"> </w:t>
            </w:r>
            <w:r w:rsidRPr="00921794">
              <w:rPr>
                <w:i/>
                <w:szCs w:val="28"/>
                <w:lang w:val="vi-VN"/>
              </w:rPr>
              <w:t>tháng</w:t>
            </w:r>
            <w:r w:rsidRPr="00921794">
              <w:rPr>
                <w:i/>
                <w:szCs w:val="28"/>
              </w:rPr>
              <w:t xml:space="preserve"> </w:t>
            </w:r>
            <w:r w:rsidR="002645C7">
              <w:rPr>
                <w:i/>
                <w:szCs w:val="28"/>
              </w:rPr>
              <w:t xml:space="preserve">      </w:t>
            </w:r>
            <w:r w:rsidRPr="00921794">
              <w:rPr>
                <w:i/>
                <w:szCs w:val="28"/>
              </w:rPr>
              <w:t xml:space="preserve"> </w:t>
            </w:r>
            <w:r w:rsidRPr="00921794">
              <w:rPr>
                <w:i/>
                <w:szCs w:val="28"/>
                <w:lang w:val="vi-VN"/>
              </w:rPr>
              <w:t>năm 20</w:t>
            </w:r>
            <w:r w:rsidRPr="00921794">
              <w:rPr>
                <w:i/>
                <w:szCs w:val="28"/>
              </w:rPr>
              <w:t>2</w:t>
            </w:r>
            <w:r w:rsidR="002645C7">
              <w:rPr>
                <w:i/>
                <w:szCs w:val="28"/>
              </w:rPr>
              <w:t>4</w:t>
            </w:r>
          </w:p>
        </w:tc>
      </w:tr>
    </w:tbl>
    <w:p w:rsidR="0058774F" w:rsidRPr="00511477" w:rsidRDefault="0058774F" w:rsidP="00921794">
      <w:pPr>
        <w:tabs>
          <w:tab w:val="right" w:leader="dot" w:pos="7920"/>
        </w:tabs>
        <w:spacing w:before="360"/>
        <w:jc w:val="center"/>
        <w:rPr>
          <w:b/>
        </w:rPr>
      </w:pPr>
      <w:r w:rsidRPr="00511477">
        <w:rPr>
          <w:b/>
        </w:rPr>
        <w:t>TỜ TRÌNH</w:t>
      </w:r>
    </w:p>
    <w:p w:rsidR="002645C7" w:rsidRPr="00B5097B" w:rsidRDefault="0058774F" w:rsidP="002645C7">
      <w:pPr>
        <w:tabs>
          <w:tab w:val="right" w:leader="dot" w:pos="7920"/>
        </w:tabs>
        <w:jc w:val="center"/>
        <w:rPr>
          <w:b/>
          <w:szCs w:val="28"/>
        </w:rPr>
      </w:pPr>
      <w:r w:rsidRPr="00B5097B">
        <w:rPr>
          <w:b/>
          <w:szCs w:val="28"/>
        </w:rPr>
        <w:t xml:space="preserve">Dự thảo Nghị quyết bãi bỏ </w:t>
      </w:r>
      <w:r w:rsidR="002645C7" w:rsidRPr="00B5097B">
        <w:rPr>
          <w:b/>
          <w:szCs w:val="28"/>
        </w:rPr>
        <w:t>Nghị quyết số 15/2019/NQ-HĐND</w:t>
      </w:r>
    </w:p>
    <w:p w:rsidR="004626CE" w:rsidRDefault="002645C7" w:rsidP="002645C7">
      <w:pPr>
        <w:tabs>
          <w:tab w:val="right" w:leader="dot" w:pos="7920"/>
        </w:tabs>
        <w:jc w:val="center"/>
        <w:rPr>
          <w:b/>
          <w:szCs w:val="28"/>
        </w:rPr>
      </w:pPr>
      <w:r w:rsidRPr="00B5097B">
        <w:rPr>
          <w:b/>
          <w:szCs w:val="28"/>
        </w:rPr>
        <w:t>ngày 11</w:t>
      </w:r>
      <w:r w:rsidR="004626CE">
        <w:rPr>
          <w:b/>
          <w:szCs w:val="28"/>
        </w:rPr>
        <w:t xml:space="preserve"> tháng </w:t>
      </w:r>
      <w:r w:rsidRPr="00B5097B">
        <w:rPr>
          <w:b/>
          <w:szCs w:val="28"/>
        </w:rPr>
        <w:t>12</w:t>
      </w:r>
      <w:r w:rsidR="004626CE">
        <w:rPr>
          <w:b/>
          <w:szCs w:val="28"/>
        </w:rPr>
        <w:t xml:space="preserve"> năm </w:t>
      </w:r>
      <w:r w:rsidRPr="00B5097B">
        <w:rPr>
          <w:b/>
          <w:szCs w:val="28"/>
        </w:rPr>
        <w:t>2019 của Hội đồng nhân dân tỉnh quy định tặng</w:t>
      </w:r>
    </w:p>
    <w:p w:rsidR="0058774F" w:rsidRPr="00B5097B" w:rsidRDefault="002645C7" w:rsidP="002645C7">
      <w:pPr>
        <w:tabs>
          <w:tab w:val="right" w:leader="dot" w:pos="7920"/>
        </w:tabs>
        <w:jc w:val="center"/>
        <w:rPr>
          <w:b/>
          <w:szCs w:val="28"/>
        </w:rPr>
      </w:pPr>
      <w:r w:rsidRPr="00B5097B">
        <w:rPr>
          <w:b/>
          <w:szCs w:val="28"/>
        </w:rPr>
        <w:t>Huy hiệu</w:t>
      </w:r>
      <w:r w:rsidR="004626CE">
        <w:rPr>
          <w:b/>
          <w:szCs w:val="28"/>
        </w:rPr>
        <w:t xml:space="preserve"> </w:t>
      </w:r>
      <w:r w:rsidRPr="00B5097B">
        <w:rPr>
          <w:b/>
          <w:szCs w:val="28"/>
        </w:rPr>
        <w:t>“Vì sự nghiệp xây dựng và phát triển tỉnh An Giang”</w:t>
      </w:r>
    </w:p>
    <w:p w:rsidR="0058774F" w:rsidRPr="00511477" w:rsidRDefault="0058774F" w:rsidP="00921794">
      <w:pPr>
        <w:spacing w:before="480" w:after="360"/>
        <w:jc w:val="center"/>
      </w:pPr>
      <w:r w:rsidRPr="00511477">
        <w:rPr>
          <w:noProof/>
        </w:rPr>
        <mc:AlternateContent>
          <mc:Choice Requires="wps">
            <w:drawing>
              <wp:anchor distT="0" distB="0" distL="114300" distR="114300" simplePos="0" relativeHeight="251664384" behindDoc="0" locked="0" layoutInCell="1" allowOverlap="1" wp14:anchorId="3E562ACB" wp14:editId="0AB49513">
                <wp:simplePos x="0" y="0"/>
                <wp:positionH relativeFrom="margin">
                  <wp:align>center</wp:align>
                </wp:positionH>
                <wp:positionV relativeFrom="paragraph">
                  <wp:posOffset>52705</wp:posOffset>
                </wp:positionV>
                <wp:extent cx="10800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86081" id="Straight Connector 2"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15pt" to="85.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" strokeweight=".5pt">
                <v:stroke joinstyle="miter"/>
                <w10:wrap anchorx="margin"/>
              </v:line>
            </w:pict>
          </mc:Fallback>
        </mc:AlternateContent>
      </w:r>
      <w:r w:rsidRPr="00511477">
        <w:t>Kính gửi: Thường trực Hội đồng nhân dân tỉnh</w:t>
      </w:r>
    </w:p>
    <w:p w:rsidR="0058774F" w:rsidRPr="00511477" w:rsidRDefault="0058774F" w:rsidP="00360E31">
      <w:pPr>
        <w:spacing w:before="120" w:after="120" w:line="360" w:lineRule="atLeast"/>
        <w:ind w:firstLine="709"/>
        <w:jc w:val="both"/>
        <w:rPr>
          <w:szCs w:val="28"/>
        </w:rPr>
      </w:pPr>
      <w:r w:rsidRPr="00511477">
        <w:rPr>
          <w:szCs w:val="28"/>
        </w:rPr>
        <w:t>Thực hiện quy định của Luật Ban hành văn bản quy phạm pháp luật năm 2015; Luật Sửa đổi, bổ sung một số điều của Luật Ban hành văn bản quy phạm pháp luật năm 2020 và các văn bản hướng dẫn có liên quan</w:t>
      </w:r>
      <w:r w:rsidR="002645C7">
        <w:rPr>
          <w:szCs w:val="28"/>
        </w:rPr>
        <w:t>,</w:t>
      </w:r>
      <w:r w:rsidRPr="00511477">
        <w:rPr>
          <w:szCs w:val="28"/>
        </w:rPr>
        <w:t xml:space="preserve"> Ủy ban nhân dân tỉnh kính trình Hội đồng nhân dân tỉnh dự thảo Nghị quyết bãi bỏ </w:t>
      </w:r>
      <w:r w:rsidR="002645C7">
        <w:rPr>
          <w:szCs w:val="28"/>
        </w:rPr>
        <w:t>Nghị quyết số 15/2019/NQ-HĐND ngày 11</w:t>
      </w:r>
      <w:r w:rsidR="004626CE">
        <w:rPr>
          <w:szCs w:val="28"/>
        </w:rPr>
        <w:t xml:space="preserve"> tháng </w:t>
      </w:r>
      <w:r w:rsidR="002645C7">
        <w:rPr>
          <w:szCs w:val="28"/>
        </w:rPr>
        <w:t>12</w:t>
      </w:r>
      <w:r w:rsidR="004626CE">
        <w:rPr>
          <w:szCs w:val="28"/>
        </w:rPr>
        <w:t xml:space="preserve"> năm </w:t>
      </w:r>
      <w:r w:rsidR="002645C7">
        <w:rPr>
          <w:szCs w:val="28"/>
        </w:rPr>
        <w:t>2019 của Hội đồng nhân dân tỉnh quy định tặng Huy hiệu “Vì sự nghiệp xây dựng và phát triển tỉnh An Giang”</w:t>
      </w:r>
      <w:r w:rsidRPr="00511477">
        <w:rPr>
          <w:szCs w:val="28"/>
        </w:rPr>
        <w:t xml:space="preserve"> như sau:</w:t>
      </w:r>
    </w:p>
    <w:p w:rsidR="0058774F" w:rsidRPr="00511477" w:rsidRDefault="0058774F" w:rsidP="00360E31">
      <w:pPr>
        <w:tabs>
          <w:tab w:val="right" w:leader="dot" w:pos="7920"/>
        </w:tabs>
        <w:spacing w:before="120" w:after="120" w:line="360" w:lineRule="atLeast"/>
        <w:ind w:firstLine="709"/>
        <w:jc w:val="both"/>
        <w:rPr>
          <w:b/>
          <w:szCs w:val="28"/>
        </w:rPr>
      </w:pPr>
      <w:r w:rsidRPr="00511477">
        <w:rPr>
          <w:b/>
          <w:szCs w:val="28"/>
        </w:rPr>
        <w:t xml:space="preserve">I. SỰ CẦN THIẾT BAN HÀNH </w:t>
      </w:r>
      <w:r w:rsidR="00953255">
        <w:rPr>
          <w:b/>
          <w:szCs w:val="28"/>
        </w:rPr>
        <w:t>NGHỊ QUYẾT</w:t>
      </w:r>
    </w:p>
    <w:p w:rsidR="00BC23D3" w:rsidRPr="00BC23D3" w:rsidRDefault="00BC23D3" w:rsidP="00360E31">
      <w:pPr>
        <w:pStyle w:val="NormalWeb"/>
        <w:spacing w:before="120" w:beforeAutospacing="0" w:after="120" w:afterAutospacing="0" w:line="360" w:lineRule="atLeast"/>
        <w:ind w:firstLine="709"/>
        <w:jc w:val="both"/>
        <w:rPr>
          <w:b/>
          <w:color w:val="000000"/>
          <w:sz w:val="28"/>
          <w:szCs w:val="28"/>
          <w:shd w:val="clear" w:color="auto" w:fill="FFFFFF"/>
        </w:rPr>
      </w:pPr>
      <w:r w:rsidRPr="00BC23D3">
        <w:rPr>
          <w:b/>
          <w:color w:val="000000"/>
          <w:sz w:val="28"/>
          <w:szCs w:val="28"/>
          <w:shd w:val="clear" w:color="auto" w:fill="FFFFFF"/>
        </w:rPr>
        <w:t>1. Cơ sở chính trị, pháp lý</w:t>
      </w:r>
    </w:p>
    <w:p w:rsidR="00BC23D3" w:rsidRPr="00A85FBB" w:rsidRDefault="00BC23D3" w:rsidP="00360E31">
      <w:pPr>
        <w:pStyle w:val="NormalWeb"/>
        <w:spacing w:before="120" w:beforeAutospacing="0" w:after="120" w:afterAutospacing="0" w:line="360" w:lineRule="atLeast"/>
        <w:ind w:firstLine="709"/>
        <w:jc w:val="both"/>
        <w:rPr>
          <w:bCs/>
          <w:color w:val="000000"/>
          <w:sz w:val="28"/>
          <w:szCs w:val="28"/>
          <w:shd w:val="clear" w:color="auto" w:fill="FFFFFF"/>
        </w:rPr>
      </w:pPr>
      <w:bookmarkStart w:id="0" w:name="_Hlk175126378"/>
      <w:r w:rsidRPr="00A85FBB">
        <w:rPr>
          <w:bCs/>
          <w:color w:val="000000"/>
          <w:sz w:val="28"/>
          <w:szCs w:val="28"/>
          <w:shd w:val="clear" w:color="auto" w:fill="FFFFFF"/>
        </w:rPr>
        <w:t>Ngày 11</w:t>
      </w:r>
      <w:r w:rsidR="004626CE" w:rsidRPr="00A85FBB">
        <w:rPr>
          <w:bCs/>
          <w:color w:val="000000"/>
          <w:sz w:val="28"/>
          <w:szCs w:val="28"/>
          <w:shd w:val="clear" w:color="auto" w:fill="FFFFFF"/>
        </w:rPr>
        <w:t xml:space="preserve"> tháng </w:t>
      </w:r>
      <w:r w:rsidRPr="00A85FBB">
        <w:rPr>
          <w:bCs/>
          <w:color w:val="000000"/>
          <w:sz w:val="28"/>
          <w:szCs w:val="28"/>
          <w:shd w:val="clear" w:color="auto" w:fill="FFFFFF"/>
        </w:rPr>
        <w:t>12</w:t>
      </w:r>
      <w:r w:rsidR="004626CE" w:rsidRPr="00A85FBB">
        <w:rPr>
          <w:bCs/>
          <w:color w:val="000000"/>
          <w:sz w:val="28"/>
          <w:szCs w:val="28"/>
          <w:shd w:val="clear" w:color="auto" w:fill="FFFFFF"/>
        </w:rPr>
        <w:t xml:space="preserve"> năm </w:t>
      </w:r>
      <w:r w:rsidRPr="00A85FBB">
        <w:rPr>
          <w:bCs/>
          <w:color w:val="000000"/>
          <w:sz w:val="28"/>
          <w:szCs w:val="28"/>
          <w:shd w:val="clear" w:color="auto" w:fill="FFFFFF"/>
        </w:rPr>
        <w:t>2019, H</w:t>
      </w:r>
      <w:r w:rsidR="00851042" w:rsidRPr="00A85FBB">
        <w:rPr>
          <w:bCs/>
          <w:color w:val="000000"/>
          <w:sz w:val="28"/>
          <w:szCs w:val="28"/>
          <w:shd w:val="clear" w:color="auto" w:fill="FFFFFF"/>
        </w:rPr>
        <w:t>ội đồng nhân dân</w:t>
      </w:r>
      <w:r w:rsidRPr="00A85FBB">
        <w:rPr>
          <w:bCs/>
          <w:color w:val="000000"/>
          <w:sz w:val="28"/>
          <w:szCs w:val="28"/>
          <w:shd w:val="clear" w:color="auto" w:fill="FFFFFF"/>
        </w:rPr>
        <w:t xml:space="preserve"> tỉnh ban hành Nghị quyết số 15/2019/NQ-HĐND quy định tặng Huy hiệu “Vì sự nghiệp xây dựng và phát triển tỉnh An Giang”, việc ban hành căn cứ: Luật Thi đua, khen thưởng năm 2003; Luật Sửa đổi, bổ sung một số điều Luật Thi đua, khen thưởng năm 2005; Luật Sửa đổi, bổ sung một số điều của Luật Thi đua, khen thưởng năm 2013; Nghị định số 91/2017/NĐ-CP ngày 31</w:t>
      </w:r>
      <w:r w:rsidR="004626CE" w:rsidRPr="00A85FBB">
        <w:rPr>
          <w:bCs/>
          <w:color w:val="000000"/>
          <w:sz w:val="28"/>
          <w:szCs w:val="28"/>
          <w:shd w:val="clear" w:color="auto" w:fill="FFFFFF"/>
        </w:rPr>
        <w:t xml:space="preserve"> tháng </w:t>
      </w:r>
      <w:r w:rsidRPr="00A85FBB">
        <w:rPr>
          <w:bCs/>
          <w:color w:val="000000"/>
          <w:sz w:val="28"/>
          <w:szCs w:val="28"/>
          <w:shd w:val="clear" w:color="auto" w:fill="FFFFFF"/>
        </w:rPr>
        <w:t>7</w:t>
      </w:r>
      <w:r w:rsidR="004626CE" w:rsidRPr="00A85FBB">
        <w:rPr>
          <w:bCs/>
          <w:color w:val="000000"/>
          <w:sz w:val="28"/>
          <w:szCs w:val="28"/>
          <w:shd w:val="clear" w:color="auto" w:fill="FFFFFF"/>
        </w:rPr>
        <w:t xml:space="preserve"> năm </w:t>
      </w:r>
      <w:r w:rsidRPr="00A85FBB">
        <w:rPr>
          <w:bCs/>
          <w:color w:val="000000"/>
          <w:sz w:val="28"/>
          <w:szCs w:val="28"/>
          <w:shd w:val="clear" w:color="auto" w:fill="FFFFFF"/>
        </w:rPr>
        <w:t xml:space="preserve">2017 của Chính phủ quy định chi tiết thi hành một số điều của Luật Thi đua, khen thưởng. Tuy nhiên, đến nay </w:t>
      </w:r>
      <w:r w:rsidR="00681B0B" w:rsidRPr="00A85FBB">
        <w:rPr>
          <w:bCs/>
          <w:color w:val="000000"/>
          <w:sz w:val="28"/>
          <w:szCs w:val="28"/>
          <w:shd w:val="clear" w:color="auto" w:fill="FFFFFF"/>
        </w:rPr>
        <w:t>các căn cứ ban hành</w:t>
      </w:r>
      <w:r w:rsidRPr="00A85FBB">
        <w:rPr>
          <w:bCs/>
          <w:color w:val="000000"/>
          <w:sz w:val="28"/>
          <w:szCs w:val="28"/>
          <w:shd w:val="clear" w:color="auto" w:fill="FFFFFF"/>
        </w:rPr>
        <w:t xml:space="preserve"> nêu trên đã hết hiệu lực và được thay thế bởi Luật Thi đua, khen thưởng năm 2022 và Nghị định số 98/2023/NĐ-CP ngày 31</w:t>
      </w:r>
      <w:r w:rsidR="004626CE" w:rsidRPr="00A85FBB">
        <w:rPr>
          <w:bCs/>
          <w:color w:val="000000"/>
          <w:sz w:val="28"/>
          <w:szCs w:val="28"/>
          <w:shd w:val="clear" w:color="auto" w:fill="FFFFFF"/>
        </w:rPr>
        <w:t xml:space="preserve"> tháng </w:t>
      </w:r>
      <w:r w:rsidRPr="00A85FBB">
        <w:rPr>
          <w:bCs/>
          <w:color w:val="000000"/>
          <w:sz w:val="28"/>
          <w:szCs w:val="28"/>
          <w:shd w:val="clear" w:color="auto" w:fill="FFFFFF"/>
        </w:rPr>
        <w:t>12</w:t>
      </w:r>
      <w:r w:rsidR="004626CE" w:rsidRPr="00A85FBB">
        <w:rPr>
          <w:bCs/>
          <w:color w:val="000000"/>
          <w:sz w:val="28"/>
          <w:szCs w:val="28"/>
          <w:shd w:val="clear" w:color="auto" w:fill="FFFFFF"/>
        </w:rPr>
        <w:t xml:space="preserve"> năm </w:t>
      </w:r>
      <w:r w:rsidRPr="00A85FBB">
        <w:rPr>
          <w:bCs/>
          <w:color w:val="000000"/>
          <w:sz w:val="28"/>
          <w:szCs w:val="28"/>
          <w:shd w:val="clear" w:color="auto" w:fill="FFFFFF"/>
        </w:rPr>
        <w:t>2023 của Chính phủ quy định chi tiết thi hành một số điều của Luật Thi đua, khen thưởng.</w:t>
      </w:r>
    </w:p>
    <w:p w:rsidR="00BC23D3" w:rsidRPr="00883117" w:rsidRDefault="00BC23D3" w:rsidP="00360E31">
      <w:pPr>
        <w:pStyle w:val="NormalWeb"/>
        <w:spacing w:before="120" w:beforeAutospacing="0" w:after="120" w:afterAutospacing="0" w:line="360" w:lineRule="atLeast"/>
        <w:ind w:firstLine="709"/>
        <w:jc w:val="both"/>
        <w:rPr>
          <w:bCs/>
          <w:i/>
          <w:color w:val="000000"/>
          <w:sz w:val="28"/>
          <w:szCs w:val="28"/>
          <w:shd w:val="clear" w:color="auto" w:fill="FFFFFF"/>
        </w:rPr>
      </w:pPr>
      <w:r>
        <w:rPr>
          <w:bCs/>
          <w:color w:val="000000"/>
          <w:sz w:val="28"/>
          <w:szCs w:val="28"/>
          <w:shd w:val="clear" w:color="auto" w:fill="FFFFFF"/>
        </w:rPr>
        <w:t xml:space="preserve">Mặt khác, Điều 9 Luật Thi đua, khen thưởng năm 2022 quy định các hình thức khen thưởng bao gồm: Huân chương, </w:t>
      </w:r>
      <w:r w:rsidR="00875F2E">
        <w:rPr>
          <w:bCs/>
          <w:color w:val="000000"/>
          <w:sz w:val="28"/>
          <w:szCs w:val="28"/>
          <w:shd w:val="clear" w:color="auto" w:fill="FFFFFF"/>
        </w:rPr>
        <w:t>H</w:t>
      </w:r>
      <w:r>
        <w:rPr>
          <w:bCs/>
          <w:color w:val="000000"/>
          <w:sz w:val="28"/>
          <w:szCs w:val="28"/>
          <w:shd w:val="clear" w:color="auto" w:fill="FFFFFF"/>
        </w:rPr>
        <w:t xml:space="preserve">uy chương, </w:t>
      </w:r>
      <w:r w:rsidR="00875F2E">
        <w:rPr>
          <w:bCs/>
          <w:color w:val="000000"/>
          <w:sz w:val="28"/>
          <w:szCs w:val="28"/>
          <w:shd w:val="clear" w:color="auto" w:fill="FFFFFF"/>
        </w:rPr>
        <w:t>D</w:t>
      </w:r>
      <w:r>
        <w:rPr>
          <w:bCs/>
          <w:color w:val="000000"/>
          <w:sz w:val="28"/>
          <w:szCs w:val="28"/>
          <w:shd w:val="clear" w:color="auto" w:fill="FFFFFF"/>
        </w:rPr>
        <w:t xml:space="preserve">anh hiệu vinh dự nhà nước, “Giải thưởng Hồ Chí Minh”, “Giải thưởng Nhà nước”, </w:t>
      </w:r>
      <w:r w:rsidR="00875F2E">
        <w:rPr>
          <w:bCs/>
          <w:color w:val="000000"/>
          <w:sz w:val="28"/>
          <w:szCs w:val="28"/>
          <w:shd w:val="clear" w:color="auto" w:fill="FFFFFF"/>
        </w:rPr>
        <w:t>K</w:t>
      </w:r>
      <w:r>
        <w:rPr>
          <w:bCs/>
          <w:color w:val="000000"/>
          <w:sz w:val="28"/>
          <w:szCs w:val="28"/>
          <w:shd w:val="clear" w:color="auto" w:fill="FFFFFF"/>
        </w:rPr>
        <w:t xml:space="preserve">ỷ niệm chương, </w:t>
      </w:r>
      <w:r w:rsidR="00875F2E">
        <w:rPr>
          <w:bCs/>
          <w:color w:val="000000"/>
          <w:sz w:val="28"/>
          <w:szCs w:val="28"/>
          <w:shd w:val="clear" w:color="auto" w:fill="FFFFFF"/>
        </w:rPr>
        <w:t>B</w:t>
      </w:r>
      <w:r>
        <w:rPr>
          <w:bCs/>
          <w:color w:val="000000"/>
          <w:sz w:val="28"/>
          <w:szCs w:val="28"/>
          <w:shd w:val="clear" w:color="auto" w:fill="FFFFFF"/>
        </w:rPr>
        <w:t xml:space="preserve">ằng khen, </w:t>
      </w:r>
      <w:r w:rsidR="00875F2E">
        <w:rPr>
          <w:bCs/>
          <w:color w:val="000000"/>
          <w:sz w:val="28"/>
          <w:szCs w:val="28"/>
          <w:shd w:val="clear" w:color="auto" w:fill="FFFFFF"/>
        </w:rPr>
        <w:t>G</w:t>
      </w:r>
      <w:r>
        <w:rPr>
          <w:bCs/>
          <w:color w:val="000000"/>
          <w:sz w:val="28"/>
          <w:szCs w:val="28"/>
          <w:shd w:val="clear" w:color="auto" w:fill="FFFFFF"/>
        </w:rPr>
        <w:t xml:space="preserve">iấy khen. Như vậy, so với các văn bản pháp luật về thi đua, khen thưởng trước đây, Luật Thi đua, khen thưởng năm 2022 không còn hình thức khen thưởng là “Huy hiệu”. Do đối tượng điều chỉnh của văn bản không còn nên Nghị quyết số 15/2019/NQ-HĐND cần được bãi bỏ, việc này phù hợp theo quy </w:t>
      </w:r>
      <w:r>
        <w:rPr>
          <w:bCs/>
          <w:color w:val="000000"/>
          <w:sz w:val="28"/>
          <w:szCs w:val="28"/>
          <w:shd w:val="clear" w:color="auto" w:fill="FFFFFF"/>
        </w:rPr>
        <w:lastRenderedPageBreak/>
        <w:t>định tại điểm a khoản 1 Điều 143 Nghị định số 34/2016/NĐ-CP ngày 14</w:t>
      </w:r>
      <w:r w:rsidR="004626CE">
        <w:rPr>
          <w:bCs/>
          <w:color w:val="000000"/>
          <w:sz w:val="28"/>
          <w:szCs w:val="28"/>
          <w:shd w:val="clear" w:color="auto" w:fill="FFFFFF"/>
        </w:rPr>
        <w:t xml:space="preserve"> tháng </w:t>
      </w:r>
      <w:r>
        <w:rPr>
          <w:bCs/>
          <w:color w:val="000000"/>
          <w:sz w:val="28"/>
          <w:szCs w:val="28"/>
          <w:shd w:val="clear" w:color="auto" w:fill="FFFFFF"/>
        </w:rPr>
        <w:t>5</w:t>
      </w:r>
      <w:r w:rsidR="004626CE">
        <w:rPr>
          <w:bCs/>
          <w:color w:val="000000"/>
          <w:sz w:val="28"/>
          <w:szCs w:val="28"/>
          <w:shd w:val="clear" w:color="auto" w:fill="FFFFFF"/>
        </w:rPr>
        <w:t xml:space="preserve"> năm </w:t>
      </w:r>
      <w:r>
        <w:rPr>
          <w:bCs/>
          <w:color w:val="000000"/>
          <w:sz w:val="28"/>
          <w:szCs w:val="28"/>
          <w:shd w:val="clear" w:color="auto" w:fill="FFFFFF"/>
        </w:rPr>
        <w:t xml:space="preserve">2016 của Chính phủ quy định chi tiết một số điều và biện pháp thi hành Luật Ban hành văn bản quy phạm pháp luật, cụ thể: </w:t>
      </w:r>
      <w:r>
        <w:rPr>
          <w:bCs/>
          <w:i/>
          <w:color w:val="000000"/>
          <w:sz w:val="28"/>
          <w:szCs w:val="28"/>
          <w:shd w:val="clear" w:color="auto" w:fill="FFFFFF"/>
        </w:rPr>
        <w:t>“</w:t>
      </w:r>
      <w:r w:rsidRPr="00883117">
        <w:rPr>
          <w:bCs/>
          <w:i/>
          <w:color w:val="000000"/>
          <w:sz w:val="28"/>
          <w:szCs w:val="28"/>
          <w:u w:val="single"/>
          <w:shd w:val="clear" w:color="auto" w:fill="FFFFFF"/>
        </w:rPr>
        <w:t>Bãi bỏ toàn bộ văn bản được áp dụng trong trường hợp đối tượng điều chỉnh của văn bản không còn</w:t>
      </w:r>
      <w:r w:rsidRPr="00883117">
        <w:rPr>
          <w:bCs/>
          <w:i/>
          <w:color w:val="000000"/>
          <w:sz w:val="28"/>
          <w:szCs w:val="28"/>
          <w:shd w:val="clear" w:color="auto" w:fill="FFFFFF"/>
        </w:rPr>
        <w:t xml:space="preserve"> hoặc toàn bộ quy định của văn bản trái, chồng chéo, mâu thuẫn với văn bản là căn cứ để rà soát hoặc không còn phù hợp với tình hình phát triển kinh tế - xã hội mà không cần thi</w:t>
      </w:r>
      <w:r>
        <w:rPr>
          <w:bCs/>
          <w:i/>
          <w:color w:val="000000"/>
          <w:sz w:val="28"/>
          <w:szCs w:val="28"/>
          <w:shd w:val="clear" w:color="auto" w:fill="FFFFFF"/>
        </w:rPr>
        <w:t>ết ban hành văn bản để thay thế”.</w:t>
      </w:r>
    </w:p>
    <w:p w:rsidR="00BC23D3" w:rsidRPr="00883117" w:rsidRDefault="00BC23D3" w:rsidP="00360E31">
      <w:pPr>
        <w:tabs>
          <w:tab w:val="left" w:pos="3053"/>
        </w:tabs>
        <w:spacing w:before="120" w:after="120" w:line="360" w:lineRule="atLeast"/>
        <w:ind w:firstLine="709"/>
        <w:jc w:val="both"/>
        <w:rPr>
          <w:color w:val="000000"/>
        </w:rPr>
      </w:pPr>
      <w:r>
        <w:rPr>
          <w:color w:val="000000"/>
        </w:rPr>
        <w:t>Khoản</w:t>
      </w:r>
      <w:r w:rsidRPr="00A30D27">
        <w:rPr>
          <w:color w:val="000000"/>
          <w:lang w:val="vi-VN"/>
        </w:rPr>
        <w:t xml:space="preserve"> 3 Điều 1 Luật </w:t>
      </w:r>
      <w:r w:rsidRPr="00A30D27">
        <w:rPr>
          <w:color w:val="000000"/>
        </w:rPr>
        <w:t xml:space="preserve">Sửa đổi, bổ sung một số điều của Luật </w:t>
      </w:r>
      <w:r w:rsidRPr="00A30D27">
        <w:rPr>
          <w:color w:val="000000"/>
          <w:lang w:val="vi-VN"/>
        </w:rPr>
        <w:t>Ban hành văn bản quy phạm pháp luật</w:t>
      </w:r>
      <w:r w:rsidRPr="00A30D27">
        <w:rPr>
          <w:color w:val="000000"/>
        </w:rPr>
        <w:t xml:space="preserve"> </w:t>
      </w:r>
      <w:r>
        <w:rPr>
          <w:color w:val="000000"/>
        </w:rPr>
        <w:t>năm 2020</w:t>
      </w:r>
      <w:r w:rsidRPr="00A30D27">
        <w:rPr>
          <w:color w:val="000000"/>
        </w:rPr>
        <w:t xml:space="preserve"> </w:t>
      </w:r>
      <w:r>
        <w:rPr>
          <w:color w:val="000000"/>
          <w:lang w:val="vi-VN"/>
        </w:rPr>
        <w:t>quy định:</w:t>
      </w:r>
      <w:r>
        <w:rPr>
          <w:color w:val="000000"/>
        </w:rPr>
        <w:t xml:space="preserve"> </w:t>
      </w:r>
      <w:r w:rsidRPr="00883117">
        <w:rPr>
          <w:i/>
          <w:color w:val="000000"/>
        </w:rPr>
        <w:t>“</w:t>
      </w:r>
      <w:r w:rsidRPr="00A30D27">
        <w:rPr>
          <w:i/>
          <w:iCs/>
          <w:color w:val="000000"/>
          <w:u w:val="single"/>
          <w:lang w:val="vi-VN"/>
        </w:rPr>
        <w:t xml:space="preserve">Văn bản quy phạm pháp luật chỉ được </w:t>
      </w:r>
      <w:r w:rsidRPr="00883117">
        <w:rPr>
          <w:i/>
          <w:iCs/>
          <w:color w:val="000000"/>
          <w:lang w:val="vi-VN"/>
        </w:rPr>
        <w:t>sửa đổi, bổ sung</w:t>
      </w:r>
      <w:r w:rsidRPr="00A30D27">
        <w:rPr>
          <w:i/>
          <w:iCs/>
          <w:color w:val="000000"/>
          <w:lang w:val="vi-VN"/>
        </w:rPr>
        <w:t xml:space="preserve">, thay thế hoặc </w:t>
      </w:r>
      <w:r w:rsidRPr="00883117">
        <w:rPr>
          <w:i/>
          <w:iCs/>
          <w:color w:val="000000"/>
          <w:u w:val="single"/>
          <w:lang w:val="vi-VN"/>
        </w:rPr>
        <w:t>bãi bỏ bằng văn</w:t>
      </w:r>
      <w:r w:rsidRPr="00A30D27">
        <w:rPr>
          <w:i/>
          <w:iCs/>
          <w:color w:val="000000"/>
          <w:u w:val="single"/>
          <w:lang w:val="vi-VN"/>
        </w:rPr>
        <w:t xml:space="preserve"> bản quy phạm pháp luật của chính cơ quan nhà nước đã ban hành văn bản đó</w:t>
      </w:r>
      <w:r>
        <w:rPr>
          <w:i/>
          <w:iCs/>
          <w:color w:val="000000"/>
        </w:rPr>
        <w:t>…”.</w:t>
      </w:r>
    </w:p>
    <w:p w:rsidR="00BC0F3B" w:rsidRPr="00A235E0" w:rsidRDefault="00BC0F3B" w:rsidP="00360E31">
      <w:pPr>
        <w:tabs>
          <w:tab w:val="left" w:pos="0"/>
        </w:tabs>
        <w:spacing w:before="120" w:after="120" w:line="360" w:lineRule="atLeast"/>
        <w:ind w:firstLine="709"/>
        <w:jc w:val="both"/>
        <w:rPr>
          <w:rStyle w:val="Hyperlink"/>
          <w:iCs/>
        </w:rPr>
      </w:pPr>
      <w:r w:rsidRPr="001E6061">
        <w:t xml:space="preserve">Căn cứ các quy định trên, có thể thấy </w:t>
      </w:r>
      <w:r w:rsidR="005542F9">
        <w:t xml:space="preserve">Nghị quyết số </w:t>
      </w:r>
      <w:r w:rsidR="005542F9" w:rsidRPr="00DD26D0">
        <w:rPr>
          <w:bCs/>
          <w:color w:val="000000"/>
          <w:szCs w:val="28"/>
          <w:shd w:val="clear" w:color="auto" w:fill="FFFFFF"/>
        </w:rPr>
        <w:t xml:space="preserve">15/2019/NQ-HĐND </w:t>
      </w:r>
      <w:r w:rsidR="005542F9">
        <w:rPr>
          <w:bCs/>
          <w:color w:val="000000"/>
          <w:szCs w:val="28"/>
          <w:shd w:val="clear" w:color="auto" w:fill="FFFFFF"/>
        </w:rPr>
        <w:t>ngày 11</w:t>
      </w:r>
      <w:r w:rsidR="004626CE">
        <w:rPr>
          <w:bCs/>
          <w:color w:val="000000"/>
          <w:szCs w:val="28"/>
          <w:shd w:val="clear" w:color="auto" w:fill="FFFFFF"/>
        </w:rPr>
        <w:t xml:space="preserve"> tháng </w:t>
      </w:r>
      <w:r w:rsidR="005542F9">
        <w:rPr>
          <w:bCs/>
          <w:color w:val="000000"/>
          <w:szCs w:val="28"/>
          <w:shd w:val="clear" w:color="auto" w:fill="FFFFFF"/>
        </w:rPr>
        <w:t>12</w:t>
      </w:r>
      <w:r w:rsidR="004626CE">
        <w:rPr>
          <w:bCs/>
          <w:color w:val="000000"/>
          <w:szCs w:val="28"/>
          <w:shd w:val="clear" w:color="auto" w:fill="FFFFFF"/>
        </w:rPr>
        <w:t xml:space="preserve"> năm </w:t>
      </w:r>
      <w:r w:rsidR="005542F9">
        <w:rPr>
          <w:bCs/>
          <w:color w:val="000000"/>
          <w:szCs w:val="28"/>
          <w:shd w:val="clear" w:color="auto" w:fill="FFFFFF"/>
        </w:rPr>
        <w:t xml:space="preserve">2019 của Hội đồng nhân dân tỉnh </w:t>
      </w:r>
      <w:r w:rsidR="005542F9" w:rsidRPr="00DD26D0">
        <w:rPr>
          <w:bCs/>
          <w:color w:val="000000"/>
          <w:szCs w:val="28"/>
          <w:shd w:val="clear" w:color="auto" w:fill="FFFFFF"/>
        </w:rPr>
        <w:t>quy định tặng Huy hiệu “Vì sự nghiệp xây d</w:t>
      </w:r>
      <w:r w:rsidR="005542F9">
        <w:rPr>
          <w:bCs/>
          <w:color w:val="000000"/>
          <w:szCs w:val="28"/>
          <w:shd w:val="clear" w:color="auto" w:fill="FFFFFF"/>
        </w:rPr>
        <w:t xml:space="preserve">ựng và phát triển tỉnh An Giang” </w:t>
      </w:r>
      <w:r w:rsidRPr="005542F9">
        <w:t xml:space="preserve">không còn phù hợp. Do đó, Hội đồng nhân dân tỉnh ban hành Nghị quyết </w:t>
      </w:r>
      <w:r w:rsidR="005542F9">
        <w:t>bãi bỏ Nghị quyết nêu trên</w:t>
      </w:r>
      <w:r w:rsidRPr="00A235E0">
        <w:t xml:space="preserve"> là đúng thẩm </w:t>
      </w:r>
      <w:r>
        <w:t>quyền.</w:t>
      </w:r>
    </w:p>
    <w:bookmarkEnd w:id="0"/>
    <w:p w:rsidR="00BC23D3" w:rsidRDefault="00BC23D3" w:rsidP="00360E31">
      <w:pPr>
        <w:pStyle w:val="NormalWeb"/>
        <w:spacing w:before="120" w:beforeAutospacing="0" w:after="120" w:afterAutospacing="0" w:line="360" w:lineRule="atLeast"/>
        <w:ind w:firstLine="709"/>
        <w:jc w:val="both"/>
        <w:rPr>
          <w:b/>
          <w:iCs/>
          <w:sz w:val="28"/>
          <w:szCs w:val="28"/>
          <w:lang w:eastAsia="vi-VN"/>
        </w:rPr>
      </w:pPr>
      <w:r>
        <w:rPr>
          <w:b/>
          <w:iCs/>
          <w:sz w:val="28"/>
          <w:szCs w:val="28"/>
          <w:lang w:eastAsia="vi-VN"/>
        </w:rPr>
        <w:t>2. Cơ sở thực tiễn</w:t>
      </w:r>
    </w:p>
    <w:p w:rsidR="00BC0F3B" w:rsidRPr="00BC0F3B" w:rsidRDefault="00BC0F3B" w:rsidP="00360E31">
      <w:pPr>
        <w:pStyle w:val="NormalWeb"/>
        <w:spacing w:before="120" w:beforeAutospacing="0" w:after="120" w:afterAutospacing="0" w:line="360" w:lineRule="atLeast"/>
        <w:ind w:firstLine="709"/>
        <w:jc w:val="both"/>
        <w:rPr>
          <w:iCs/>
          <w:sz w:val="28"/>
          <w:szCs w:val="28"/>
        </w:rPr>
      </w:pPr>
      <w:r>
        <w:rPr>
          <w:iCs/>
          <w:sz w:val="28"/>
          <w:szCs w:val="28"/>
        </w:rPr>
        <w:t xml:space="preserve">Qua rà soát, </w:t>
      </w:r>
      <w:r w:rsidRPr="005865A6">
        <w:rPr>
          <w:sz w:val="28"/>
          <w:szCs w:val="28"/>
          <w:lang w:val="vi-VN" w:eastAsia="vi-VN"/>
        </w:rPr>
        <w:t>Nghị quyết số 15/2019/NQ-HĐND ngày 1</w:t>
      </w:r>
      <w:r>
        <w:rPr>
          <w:sz w:val="28"/>
          <w:szCs w:val="28"/>
          <w:lang w:val="vi-VN" w:eastAsia="vi-VN"/>
        </w:rPr>
        <w:t>1</w:t>
      </w:r>
      <w:r w:rsidR="004626CE">
        <w:rPr>
          <w:sz w:val="28"/>
          <w:szCs w:val="28"/>
          <w:lang w:eastAsia="vi-VN"/>
        </w:rPr>
        <w:t xml:space="preserve"> tháng </w:t>
      </w:r>
      <w:r>
        <w:rPr>
          <w:sz w:val="28"/>
          <w:szCs w:val="28"/>
          <w:lang w:val="vi-VN" w:eastAsia="vi-VN"/>
        </w:rPr>
        <w:t>12</w:t>
      </w:r>
      <w:r w:rsidR="004626CE">
        <w:rPr>
          <w:sz w:val="28"/>
          <w:szCs w:val="28"/>
          <w:lang w:eastAsia="vi-VN"/>
        </w:rPr>
        <w:t xml:space="preserve"> năm </w:t>
      </w:r>
      <w:r>
        <w:rPr>
          <w:sz w:val="28"/>
          <w:szCs w:val="28"/>
          <w:lang w:val="vi-VN" w:eastAsia="vi-VN"/>
        </w:rPr>
        <w:t xml:space="preserve">2019 của </w:t>
      </w:r>
      <w:r>
        <w:rPr>
          <w:sz w:val="28"/>
          <w:szCs w:val="28"/>
          <w:lang w:eastAsia="vi-VN"/>
        </w:rPr>
        <w:t xml:space="preserve">Hội đồng nhân dân </w:t>
      </w:r>
      <w:r w:rsidRPr="005865A6">
        <w:rPr>
          <w:sz w:val="28"/>
          <w:szCs w:val="28"/>
          <w:lang w:val="vi-VN" w:eastAsia="vi-VN"/>
        </w:rPr>
        <w:t>tỉnh quy định tặng Huy hiệu “Vì sự nghiệp xây dự</w:t>
      </w:r>
      <w:r>
        <w:rPr>
          <w:sz w:val="28"/>
          <w:szCs w:val="28"/>
          <w:lang w:val="vi-VN" w:eastAsia="vi-VN"/>
        </w:rPr>
        <w:t>ng và phát triển tỉnh An Giang”</w:t>
      </w:r>
      <w:r>
        <w:rPr>
          <w:sz w:val="28"/>
          <w:szCs w:val="28"/>
          <w:lang w:eastAsia="vi-VN"/>
        </w:rPr>
        <w:t xml:space="preserve"> không còn áp dụng trên thực tế do đối tượng điều chỉnh của văn bản không còn nhưng chưa có văn bản xác định hết hiệu lực. </w:t>
      </w:r>
    </w:p>
    <w:p w:rsidR="00BC0F3B" w:rsidRPr="000A367B" w:rsidRDefault="00BC0F3B" w:rsidP="00360E31">
      <w:pPr>
        <w:tabs>
          <w:tab w:val="right" w:leader="dot" w:pos="7920"/>
        </w:tabs>
        <w:spacing w:before="120" w:after="120" w:line="360" w:lineRule="atLeast"/>
        <w:ind w:firstLine="709"/>
        <w:jc w:val="both"/>
        <w:rPr>
          <w:iCs/>
        </w:rPr>
      </w:pPr>
      <w:r w:rsidRPr="000A367B">
        <w:rPr>
          <w:lang w:eastAsia="vi-VN"/>
        </w:rPr>
        <w:t xml:space="preserve">Từ cơ sở pháp lý và thực tiễn nêu trên, việc </w:t>
      </w:r>
      <w:r>
        <w:rPr>
          <w:lang w:eastAsia="vi-VN"/>
        </w:rPr>
        <w:t xml:space="preserve">Hội đồng nhân dân tỉnh </w:t>
      </w:r>
      <w:r w:rsidRPr="000A367B">
        <w:rPr>
          <w:lang w:eastAsia="vi-VN"/>
        </w:rPr>
        <w:t xml:space="preserve">ban hành </w:t>
      </w:r>
      <w:r w:rsidRPr="00E93765">
        <w:rPr>
          <w:spacing w:val="-4"/>
        </w:rPr>
        <w:t xml:space="preserve">Nghị quyết </w:t>
      </w:r>
      <w:r>
        <w:rPr>
          <w:spacing w:val="-4"/>
        </w:rPr>
        <w:t xml:space="preserve">bãi bỏ </w:t>
      </w:r>
      <w:r w:rsidRPr="005865A6">
        <w:rPr>
          <w:szCs w:val="28"/>
          <w:lang w:val="vi-VN" w:eastAsia="vi-VN"/>
        </w:rPr>
        <w:t>Nghị quyết số 15/2019/NQ-HĐND ngày 1</w:t>
      </w:r>
      <w:r>
        <w:rPr>
          <w:szCs w:val="28"/>
          <w:lang w:val="vi-VN" w:eastAsia="vi-VN"/>
        </w:rPr>
        <w:t>1</w:t>
      </w:r>
      <w:r w:rsidR="004626CE">
        <w:rPr>
          <w:szCs w:val="28"/>
          <w:lang w:eastAsia="vi-VN"/>
        </w:rPr>
        <w:t xml:space="preserve"> tháng </w:t>
      </w:r>
      <w:r>
        <w:rPr>
          <w:szCs w:val="28"/>
          <w:lang w:val="vi-VN" w:eastAsia="vi-VN"/>
        </w:rPr>
        <w:t>12</w:t>
      </w:r>
      <w:r w:rsidR="004626CE">
        <w:rPr>
          <w:szCs w:val="28"/>
          <w:lang w:eastAsia="vi-VN"/>
        </w:rPr>
        <w:t xml:space="preserve"> năm </w:t>
      </w:r>
      <w:r>
        <w:rPr>
          <w:szCs w:val="28"/>
          <w:lang w:val="vi-VN" w:eastAsia="vi-VN"/>
        </w:rPr>
        <w:t xml:space="preserve">2019 của </w:t>
      </w:r>
      <w:r>
        <w:rPr>
          <w:szCs w:val="28"/>
          <w:lang w:eastAsia="vi-VN"/>
        </w:rPr>
        <w:t xml:space="preserve">Hội đồng nhân dân </w:t>
      </w:r>
      <w:r w:rsidRPr="005865A6">
        <w:rPr>
          <w:szCs w:val="28"/>
          <w:lang w:val="vi-VN" w:eastAsia="vi-VN"/>
        </w:rPr>
        <w:t>tỉnh quy định tặng Huy hiệu “Vì sự nghiệp xây dự</w:t>
      </w:r>
      <w:r>
        <w:rPr>
          <w:szCs w:val="28"/>
          <w:lang w:val="vi-VN" w:eastAsia="vi-VN"/>
        </w:rPr>
        <w:t>ng và phát triển tỉnh An Giang”</w:t>
      </w:r>
      <w:r>
        <w:rPr>
          <w:szCs w:val="28"/>
          <w:lang w:eastAsia="vi-VN"/>
        </w:rPr>
        <w:t xml:space="preserve"> </w:t>
      </w:r>
      <w:r w:rsidRPr="00BC0F3B">
        <w:rPr>
          <w:bCs/>
          <w:iCs/>
          <w:lang w:val="sv-FI"/>
        </w:rPr>
        <w:t>là</w:t>
      </w:r>
      <w:r w:rsidRPr="000A367B">
        <w:rPr>
          <w:bCs/>
          <w:i/>
          <w:lang w:val="sv-FI"/>
        </w:rPr>
        <w:t xml:space="preserve"> </w:t>
      </w:r>
      <w:r w:rsidRPr="000A367B">
        <w:rPr>
          <w:b/>
          <w:bCs/>
          <w:i/>
          <w:lang w:val="sv-FI"/>
        </w:rPr>
        <w:t>đúng thẩm quyền và cần thiết</w:t>
      </w:r>
      <w:r>
        <w:rPr>
          <w:b/>
          <w:bCs/>
          <w:lang w:val="sv-FI"/>
        </w:rPr>
        <w:t>.</w:t>
      </w:r>
    </w:p>
    <w:p w:rsidR="00BC23D3" w:rsidRDefault="0058774F" w:rsidP="00360E31">
      <w:pPr>
        <w:tabs>
          <w:tab w:val="right" w:leader="dot" w:pos="7920"/>
        </w:tabs>
        <w:spacing w:before="120" w:after="120" w:line="360" w:lineRule="atLeast"/>
        <w:ind w:firstLine="709"/>
        <w:jc w:val="both"/>
        <w:rPr>
          <w:b/>
          <w:szCs w:val="28"/>
        </w:rPr>
      </w:pPr>
      <w:r w:rsidRPr="00511477">
        <w:rPr>
          <w:b/>
          <w:szCs w:val="28"/>
        </w:rPr>
        <w:t>II. MỤC ĐÍCH</w:t>
      </w:r>
      <w:r w:rsidR="00BC23D3">
        <w:rPr>
          <w:b/>
          <w:szCs w:val="28"/>
        </w:rPr>
        <w:t xml:space="preserve"> BAN HÀNH, QUAN ĐIỂM XÂY DỰNG DỰ THẢO </w:t>
      </w:r>
      <w:r w:rsidR="00953255">
        <w:rPr>
          <w:b/>
          <w:szCs w:val="28"/>
        </w:rPr>
        <w:t>NGHỊ QUYẾT</w:t>
      </w:r>
    </w:p>
    <w:p w:rsidR="0058774F" w:rsidRPr="00511477" w:rsidRDefault="0058774F" w:rsidP="00360E31">
      <w:pPr>
        <w:tabs>
          <w:tab w:val="right" w:leader="dot" w:pos="7920"/>
        </w:tabs>
        <w:spacing w:before="120" w:after="120" w:line="360" w:lineRule="atLeast"/>
        <w:ind w:firstLine="709"/>
        <w:jc w:val="both"/>
        <w:rPr>
          <w:b/>
          <w:szCs w:val="28"/>
        </w:rPr>
      </w:pPr>
      <w:r w:rsidRPr="00511477">
        <w:rPr>
          <w:b/>
          <w:szCs w:val="28"/>
        </w:rPr>
        <w:t>1. Mục đích</w:t>
      </w:r>
      <w:r w:rsidR="00BC23D3">
        <w:rPr>
          <w:b/>
          <w:szCs w:val="28"/>
        </w:rPr>
        <w:t xml:space="preserve"> ban hành </w:t>
      </w:r>
      <w:r w:rsidR="00953255">
        <w:rPr>
          <w:b/>
          <w:szCs w:val="28"/>
        </w:rPr>
        <w:t>Nghị quyết</w:t>
      </w:r>
    </w:p>
    <w:p w:rsidR="0058774F" w:rsidRPr="005C27BD" w:rsidRDefault="005C27BD" w:rsidP="00360E31">
      <w:pPr>
        <w:widowControl w:val="0"/>
        <w:tabs>
          <w:tab w:val="right" w:leader="dot" w:pos="7920"/>
        </w:tabs>
        <w:spacing w:before="120" w:after="120" w:line="360" w:lineRule="atLeast"/>
        <w:ind w:firstLine="709"/>
        <w:jc w:val="both"/>
        <w:rPr>
          <w:b/>
          <w:szCs w:val="28"/>
          <w:lang w:val="vi-VN"/>
        </w:rPr>
      </w:pPr>
      <w:r>
        <w:rPr>
          <w:szCs w:val="28"/>
          <w:lang w:val="vi-VN"/>
        </w:rPr>
        <w:t xml:space="preserve">Kịp thời bãi bỏ văn bản quy phạm pháp luật có nội dung không còn phù hợp </w:t>
      </w:r>
      <w:r w:rsidR="005542F9">
        <w:rPr>
          <w:szCs w:val="28"/>
        </w:rPr>
        <w:t xml:space="preserve">với </w:t>
      </w:r>
      <w:r>
        <w:rPr>
          <w:szCs w:val="28"/>
          <w:lang w:val="vi-VN"/>
        </w:rPr>
        <w:t xml:space="preserve">các quy định hiện hành nhằm đảm bảo tính thống nhất của các văn bản quy phạm pháp luật </w:t>
      </w:r>
      <w:r w:rsidRPr="00511477">
        <w:rPr>
          <w:szCs w:val="28"/>
        </w:rPr>
        <w:t xml:space="preserve">thuộc lĩnh vực </w:t>
      </w:r>
      <w:r w:rsidR="005542F9">
        <w:rPr>
          <w:szCs w:val="28"/>
        </w:rPr>
        <w:t>thi đua, khen thưởng</w:t>
      </w:r>
      <w:r>
        <w:rPr>
          <w:szCs w:val="28"/>
          <w:lang w:val="vi-VN"/>
        </w:rPr>
        <w:t>.</w:t>
      </w:r>
    </w:p>
    <w:p w:rsidR="0058774F" w:rsidRPr="00511477" w:rsidRDefault="0058774F" w:rsidP="00360E31">
      <w:pPr>
        <w:spacing w:before="120" w:after="120" w:line="360" w:lineRule="atLeast"/>
        <w:ind w:firstLine="709"/>
        <w:jc w:val="both"/>
        <w:rPr>
          <w:b/>
          <w:szCs w:val="28"/>
        </w:rPr>
      </w:pPr>
      <w:r w:rsidRPr="00511477">
        <w:rPr>
          <w:b/>
          <w:szCs w:val="28"/>
        </w:rPr>
        <w:t xml:space="preserve">2. Quan điểm xây dựng dự thảo </w:t>
      </w:r>
      <w:r w:rsidR="00953255">
        <w:rPr>
          <w:b/>
          <w:szCs w:val="28"/>
        </w:rPr>
        <w:t>Nghị quyết</w:t>
      </w:r>
    </w:p>
    <w:p w:rsidR="005542F9" w:rsidRDefault="005542F9" w:rsidP="00360E31">
      <w:pPr>
        <w:spacing w:before="120" w:after="120" w:line="360" w:lineRule="atLeast"/>
        <w:ind w:firstLine="709"/>
        <w:jc w:val="both"/>
        <w:rPr>
          <w:spacing w:val="-4"/>
          <w:lang w:val="nl-NL"/>
        </w:rPr>
      </w:pPr>
      <w:r w:rsidRPr="006451F4">
        <w:rPr>
          <w:spacing w:val="-4"/>
          <w:lang w:val="nl-NL"/>
        </w:rPr>
        <w:t>a)</w:t>
      </w:r>
      <w:r>
        <w:rPr>
          <w:spacing w:val="-4"/>
          <w:lang w:val="nl-NL"/>
        </w:rPr>
        <w:t xml:space="preserve"> </w:t>
      </w:r>
      <w:r w:rsidRPr="00C64B0D">
        <w:rPr>
          <w:color w:val="000000"/>
        </w:rPr>
        <w:t>Nội dung quy định của dự thảo Nghị quyết phải đảm bảo tính hợp hiến, hợp pháp</w:t>
      </w:r>
      <w:r w:rsidR="00BF3747">
        <w:rPr>
          <w:color w:val="000000"/>
        </w:rPr>
        <w:t xml:space="preserve"> và tính thống nhất với hệ thống pháp luật.</w:t>
      </w:r>
    </w:p>
    <w:p w:rsidR="005542F9" w:rsidRPr="006451F4" w:rsidRDefault="005542F9" w:rsidP="00360E31">
      <w:pPr>
        <w:spacing w:before="120" w:after="120" w:line="360" w:lineRule="atLeast"/>
        <w:ind w:firstLine="709"/>
        <w:jc w:val="both"/>
        <w:rPr>
          <w:spacing w:val="-4"/>
          <w:lang w:val="nl-NL"/>
        </w:rPr>
      </w:pPr>
      <w:r>
        <w:rPr>
          <w:spacing w:val="-4"/>
          <w:lang w:val="nl-NL"/>
        </w:rPr>
        <w:t xml:space="preserve">b) </w:t>
      </w:r>
      <w:r w:rsidRPr="006451F4">
        <w:rPr>
          <w:spacing w:val="-4"/>
          <w:lang w:val="nl-NL"/>
        </w:rPr>
        <w:t>Tuân thủ trình tự, thủ tục xây dựng ban hành văn bản quy phạm pháp luật.</w:t>
      </w:r>
    </w:p>
    <w:p w:rsidR="00BC23D3" w:rsidRPr="00BC23D3" w:rsidRDefault="00BC23D3" w:rsidP="00360E31">
      <w:pPr>
        <w:spacing w:before="120" w:after="120" w:line="360" w:lineRule="atLeast"/>
        <w:ind w:firstLine="709"/>
        <w:jc w:val="both"/>
        <w:rPr>
          <w:b/>
          <w:bCs/>
          <w:szCs w:val="28"/>
        </w:rPr>
      </w:pPr>
      <w:r w:rsidRPr="00BC23D3">
        <w:rPr>
          <w:b/>
          <w:bCs/>
          <w:szCs w:val="28"/>
        </w:rPr>
        <w:lastRenderedPageBreak/>
        <w:t xml:space="preserve">III. PHẠM VI ĐIỀU CHỈNH, ĐỐI TƯỢNG ÁP DỤNG CỦA DỰ THẢO </w:t>
      </w:r>
      <w:r w:rsidR="00953255">
        <w:rPr>
          <w:b/>
          <w:bCs/>
          <w:szCs w:val="28"/>
        </w:rPr>
        <w:t>NGHỊ QUYẾT</w:t>
      </w:r>
    </w:p>
    <w:p w:rsidR="009D16AF" w:rsidRPr="00C0606D" w:rsidRDefault="009D16AF" w:rsidP="00360E31">
      <w:pPr>
        <w:tabs>
          <w:tab w:val="left" w:pos="567"/>
          <w:tab w:val="right" w:leader="dot" w:pos="7920"/>
        </w:tabs>
        <w:spacing w:before="120" w:after="120" w:line="360" w:lineRule="atLeast"/>
        <w:ind w:firstLine="709"/>
        <w:jc w:val="both"/>
        <w:rPr>
          <w:b/>
          <w:szCs w:val="28"/>
        </w:rPr>
      </w:pPr>
      <w:r w:rsidRPr="00C0606D">
        <w:rPr>
          <w:b/>
          <w:szCs w:val="28"/>
        </w:rPr>
        <w:t>1. Phạm vi điều chỉnh</w:t>
      </w:r>
    </w:p>
    <w:p w:rsidR="009D16AF" w:rsidRPr="00335241" w:rsidRDefault="009D16AF" w:rsidP="00360E31">
      <w:pPr>
        <w:pStyle w:val="NormalWeb"/>
        <w:shd w:val="clear" w:color="auto" w:fill="FFFFFF"/>
        <w:spacing w:before="120" w:beforeAutospacing="0" w:after="120" w:afterAutospacing="0" w:line="360" w:lineRule="atLeast"/>
        <w:ind w:firstLine="709"/>
        <w:jc w:val="both"/>
        <w:rPr>
          <w:sz w:val="28"/>
          <w:szCs w:val="28"/>
        </w:rPr>
      </w:pPr>
      <w:r w:rsidRPr="00BF3747">
        <w:rPr>
          <w:spacing w:val="-2"/>
          <w:sz w:val="28"/>
          <w:szCs w:val="28"/>
        </w:rPr>
        <w:t>Nghị quyết này bãi bỏ toàn bộ nội dung Nghị quyết số 15/2019/NQHĐND</w:t>
      </w:r>
      <w:r w:rsidRPr="00335241">
        <w:rPr>
          <w:sz w:val="28"/>
          <w:szCs w:val="28"/>
        </w:rPr>
        <w:t xml:space="preserve"> ngày 11</w:t>
      </w:r>
      <w:r w:rsidR="004626CE">
        <w:rPr>
          <w:sz w:val="28"/>
          <w:szCs w:val="28"/>
        </w:rPr>
        <w:t xml:space="preserve"> tháng </w:t>
      </w:r>
      <w:r w:rsidRPr="00335241">
        <w:rPr>
          <w:sz w:val="28"/>
          <w:szCs w:val="28"/>
        </w:rPr>
        <w:t>12</w:t>
      </w:r>
      <w:r w:rsidR="004626CE">
        <w:rPr>
          <w:sz w:val="28"/>
          <w:szCs w:val="28"/>
        </w:rPr>
        <w:t xml:space="preserve"> năm </w:t>
      </w:r>
      <w:r w:rsidRPr="00335241">
        <w:rPr>
          <w:sz w:val="28"/>
          <w:szCs w:val="28"/>
        </w:rPr>
        <w:t>2019 của Hội đồng nhân dân tỉnh quy định tặng Huy hiệu “Vì sự nghiệp xây dựng và phát triển tỉnh An Giang”.</w:t>
      </w:r>
    </w:p>
    <w:p w:rsidR="009D16AF" w:rsidRPr="00C0606D" w:rsidRDefault="009D16AF" w:rsidP="00360E31">
      <w:pPr>
        <w:pStyle w:val="NormalWeb"/>
        <w:shd w:val="clear" w:color="auto" w:fill="FFFFFF"/>
        <w:spacing w:before="120" w:beforeAutospacing="0" w:after="120" w:afterAutospacing="0" w:line="360" w:lineRule="atLeast"/>
        <w:ind w:firstLine="709"/>
        <w:jc w:val="both"/>
        <w:rPr>
          <w:b/>
          <w:sz w:val="28"/>
          <w:szCs w:val="28"/>
        </w:rPr>
      </w:pPr>
      <w:r w:rsidRPr="00C0606D">
        <w:rPr>
          <w:b/>
          <w:sz w:val="28"/>
          <w:szCs w:val="28"/>
        </w:rPr>
        <w:t>2. Đối tượng áp dụng</w:t>
      </w:r>
    </w:p>
    <w:p w:rsidR="009D16AF" w:rsidRDefault="009D16AF" w:rsidP="00360E31">
      <w:pPr>
        <w:pStyle w:val="NormalWeb"/>
        <w:shd w:val="clear" w:color="auto" w:fill="FFFFFF"/>
        <w:spacing w:before="120" w:beforeAutospacing="0" w:after="120" w:afterAutospacing="0" w:line="360" w:lineRule="atLeast"/>
        <w:ind w:firstLine="709"/>
        <w:jc w:val="both"/>
        <w:rPr>
          <w:sz w:val="28"/>
          <w:szCs w:val="28"/>
        </w:rPr>
      </w:pPr>
      <w:r w:rsidRPr="00335241">
        <w:rPr>
          <w:sz w:val="28"/>
          <w:szCs w:val="28"/>
        </w:rPr>
        <w:t>Cá nhân có đóng góp vào quá trình phát triển của tỉnh được quy định tại khoản 3 Điều 1 của Nghị quyết số 15/2019/NQ-HĐND.</w:t>
      </w:r>
    </w:p>
    <w:p w:rsidR="00921794" w:rsidRDefault="0058774F" w:rsidP="00360E31">
      <w:pPr>
        <w:widowControl w:val="0"/>
        <w:tabs>
          <w:tab w:val="right" w:leader="dot" w:pos="7920"/>
        </w:tabs>
        <w:spacing w:before="120" w:after="120" w:line="360" w:lineRule="atLeast"/>
        <w:ind w:firstLine="709"/>
        <w:jc w:val="both"/>
        <w:rPr>
          <w:b/>
          <w:szCs w:val="28"/>
        </w:rPr>
      </w:pPr>
      <w:r w:rsidRPr="00511477">
        <w:rPr>
          <w:b/>
          <w:szCs w:val="28"/>
        </w:rPr>
        <w:t>I</w:t>
      </w:r>
      <w:r w:rsidR="00BC23D3">
        <w:rPr>
          <w:b/>
          <w:szCs w:val="28"/>
        </w:rPr>
        <w:t>V</w:t>
      </w:r>
      <w:r w:rsidRPr="00511477">
        <w:rPr>
          <w:b/>
          <w:szCs w:val="28"/>
        </w:rPr>
        <w:t xml:space="preserve">. QUÁ TRÌNH XÂY DỰNG DỰ THẢO </w:t>
      </w:r>
      <w:r w:rsidR="00953255">
        <w:rPr>
          <w:b/>
          <w:szCs w:val="28"/>
        </w:rPr>
        <w:t>NGHỊ QUYẾT</w:t>
      </w:r>
    </w:p>
    <w:p w:rsidR="00BF3747" w:rsidRPr="004626CE" w:rsidRDefault="00BF3747" w:rsidP="00360E31">
      <w:pPr>
        <w:pStyle w:val="NormalWeb"/>
        <w:spacing w:before="120" w:beforeAutospacing="0" w:after="120" w:afterAutospacing="0" w:line="360" w:lineRule="atLeast"/>
        <w:ind w:firstLine="709"/>
        <w:jc w:val="both"/>
        <w:rPr>
          <w:iCs/>
          <w:spacing w:val="-2"/>
          <w:sz w:val="28"/>
          <w:szCs w:val="28"/>
        </w:rPr>
      </w:pPr>
      <w:r w:rsidRPr="004626CE">
        <w:rPr>
          <w:iCs/>
          <w:spacing w:val="-2"/>
          <w:sz w:val="28"/>
          <w:szCs w:val="28"/>
        </w:rPr>
        <w:t>Thực hiện Quyết định số 289/QĐ-UBND ngày 28</w:t>
      </w:r>
      <w:r w:rsidR="004626CE" w:rsidRPr="004626CE">
        <w:rPr>
          <w:iCs/>
          <w:spacing w:val="-2"/>
          <w:sz w:val="28"/>
          <w:szCs w:val="28"/>
        </w:rPr>
        <w:t xml:space="preserve"> tháng </w:t>
      </w:r>
      <w:r w:rsidRPr="004626CE">
        <w:rPr>
          <w:iCs/>
          <w:spacing w:val="-2"/>
          <w:sz w:val="28"/>
          <w:szCs w:val="28"/>
        </w:rPr>
        <w:t>02</w:t>
      </w:r>
      <w:r w:rsidR="004626CE" w:rsidRPr="004626CE">
        <w:rPr>
          <w:iCs/>
          <w:spacing w:val="-2"/>
          <w:sz w:val="28"/>
          <w:szCs w:val="28"/>
        </w:rPr>
        <w:t xml:space="preserve"> năm </w:t>
      </w:r>
      <w:r w:rsidRPr="004626CE">
        <w:rPr>
          <w:iCs/>
          <w:spacing w:val="-2"/>
          <w:sz w:val="28"/>
          <w:szCs w:val="28"/>
        </w:rPr>
        <w:t xml:space="preserve">2024 của Chủ tịch Ủy ban nhân dân tỉnh về công bố kết quả hệ thống hóa văn bản quy phạm pháp luật trên địa bàn tỉnh An Giang kỳ 2019 - 2023, theo đó, tại Điều 2 Quyết định yêu cầu: “Căn cứ kết quả hệ thống hóa văn bản quy phạm pháp luật được công bố tại khoản 4 Điều 1 Quyết định này, các cơ quan có liên quan khẩn trương soạn thảo, trình Hội đồng nhân đân và Ủy ban nhân dân tỉnh ban hành văn bản sửa đổi, bổ sung, thay thế, bãi bỏ”. Sở Nội vụ </w:t>
      </w:r>
      <w:r w:rsidR="00BB6978" w:rsidRPr="004626CE">
        <w:rPr>
          <w:iCs/>
          <w:spacing w:val="-2"/>
          <w:sz w:val="28"/>
          <w:szCs w:val="28"/>
        </w:rPr>
        <w:t>đề nghị xây dựng Nghị quyết bãi bỏ Nghị quyết số 15/2019/NQ-HĐND ngày 11</w:t>
      </w:r>
      <w:r w:rsidR="004626CE" w:rsidRPr="004626CE">
        <w:rPr>
          <w:iCs/>
          <w:spacing w:val="-2"/>
          <w:sz w:val="28"/>
          <w:szCs w:val="28"/>
        </w:rPr>
        <w:t xml:space="preserve"> tháng </w:t>
      </w:r>
      <w:r w:rsidR="00BB6978" w:rsidRPr="004626CE">
        <w:rPr>
          <w:iCs/>
          <w:spacing w:val="-2"/>
          <w:sz w:val="28"/>
          <w:szCs w:val="28"/>
        </w:rPr>
        <w:t>12</w:t>
      </w:r>
      <w:r w:rsidR="004626CE" w:rsidRPr="004626CE">
        <w:rPr>
          <w:iCs/>
          <w:spacing w:val="-2"/>
          <w:sz w:val="28"/>
          <w:szCs w:val="28"/>
        </w:rPr>
        <w:t xml:space="preserve"> năm </w:t>
      </w:r>
      <w:r w:rsidR="00BB6978" w:rsidRPr="004626CE">
        <w:rPr>
          <w:iCs/>
          <w:spacing w:val="-2"/>
          <w:sz w:val="28"/>
          <w:szCs w:val="28"/>
        </w:rPr>
        <w:t>2019 của Hội đồng nhân dân tỉnh quy định tặng Huy hiệu “Vì sự nghiệp xây dựng và phát triển tỉnh An Giang” thông qua Tờ trình số 1949/TTr-SNV ngày 01</w:t>
      </w:r>
      <w:r w:rsidR="004626CE" w:rsidRPr="004626CE">
        <w:rPr>
          <w:iCs/>
          <w:spacing w:val="-2"/>
          <w:sz w:val="28"/>
          <w:szCs w:val="28"/>
        </w:rPr>
        <w:t xml:space="preserve"> tháng </w:t>
      </w:r>
      <w:r w:rsidR="00BB6978" w:rsidRPr="004626CE">
        <w:rPr>
          <w:iCs/>
          <w:spacing w:val="-2"/>
          <w:sz w:val="28"/>
          <w:szCs w:val="28"/>
        </w:rPr>
        <w:t>8</w:t>
      </w:r>
      <w:r w:rsidR="004626CE" w:rsidRPr="004626CE">
        <w:rPr>
          <w:iCs/>
          <w:spacing w:val="-2"/>
          <w:sz w:val="28"/>
          <w:szCs w:val="28"/>
        </w:rPr>
        <w:t xml:space="preserve"> năm </w:t>
      </w:r>
      <w:r w:rsidR="00BB6978" w:rsidRPr="004626CE">
        <w:rPr>
          <w:iCs/>
          <w:spacing w:val="-2"/>
          <w:sz w:val="28"/>
          <w:szCs w:val="28"/>
        </w:rPr>
        <w:t>2024.</w:t>
      </w:r>
    </w:p>
    <w:p w:rsidR="00CE20E7" w:rsidRDefault="00BB6978" w:rsidP="00360E31">
      <w:pPr>
        <w:pStyle w:val="NormalWeb"/>
        <w:spacing w:before="120" w:beforeAutospacing="0" w:after="120" w:afterAutospacing="0" w:line="360" w:lineRule="atLeast"/>
        <w:ind w:firstLine="709"/>
        <w:jc w:val="both"/>
        <w:rPr>
          <w:iCs/>
          <w:sz w:val="28"/>
          <w:szCs w:val="28"/>
        </w:rPr>
      </w:pPr>
      <w:r>
        <w:rPr>
          <w:iCs/>
          <w:sz w:val="28"/>
          <w:szCs w:val="28"/>
        </w:rPr>
        <w:t xml:space="preserve">Trên cơ sở văn bản chấp thuận chủ trương của Thường trực Hội đồng nhân dân tỉnh tại Công văn số </w:t>
      </w:r>
      <w:r w:rsidR="00050859">
        <w:rPr>
          <w:iCs/>
          <w:sz w:val="28"/>
          <w:szCs w:val="28"/>
        </w:rPr>
        <w:t>138</w:t>
      </w:r>
      <w:r>
        <w:rPr>
          <w:iCs/>
          <w:sz w:val="28"/>
          <w:szCs w:val="28"/>
        </w:rPr>
        <w:t xml:space="preserve">/HĐND-TT ngày </w:t>
      </w:r>
      <w:r w:rsidR="00050859">
        <w:rPr>
          <w:iCs/>
          <w:sz w:val="28"/>
          <w:szCs w:val="28"/>
        </w:rPr>
        <w:t>06</w:t>
      </w:r>
      <w:r w:rsidR="004626CE">
        <w:rPr>
          <w:iCs/>
          <w:sz w:val="28"/>
          <w:szCs w:val="28"/>
        </w:rPr>
        <w:t xml:space="preserve"> tháng </w:t>
      </w:r>
      <w:r w:rsidR="00050859">
        <w:rPr>
          <w:iCs/>
          <w:sz w:val="28"/>
          <w:szCs w:val="28"/>
        </w:rPr>
        <w:t>8</w:t>
      </w:r>
      <w:r w:rsidR="004626CE">
        <w:rPr>
          <w:iCs/>
          <w:sz w:val="28"/>
          <w:szCs w:val="28"/>
        </w:rPr>
        <w:t xml:space="preserve"> năm </w:t>
      </w:r>
      <w:r>
        <w:rPr>
          <w:iCs/>
          <w:sz w:val="28"/>
          <w:szCs w:val="28"/>
        </w:rPr>
        <w:t>2024, Sở Nội vụ tiến hành xây dựng dự thảo Nghị quyết bãi bỏ Nghị quyết số 15/2019/NQ-HĐND ngày 11</w:t>
      </w:r>
      <w:r w:rsidR="004626CE">
        <w:rPr>
          <w:iCs/>
          <w:sz w:val="28"/>
          <w:szCs w:val="28"/>
        </w:rPr>
        <w:t xml:space="preserve"> tháng </w:t>
      </w:r>
      <w:r>
        <w:rPr>
          <w:iCs/>
          <w:sz w:val="28"/>
          <w:szCs w:val="28"/>
        </w:rPr>
        <w:t>12</w:t>
      </w:r>
      <w:r w:rsidR="004626CE">
        <w:rPr>
          <w:iCs/>
          <w:sz w:val="28"/>
          <w:szCs w:val="28"/>
        </w:rPr>
        <w:t xml:space="preserve"> năm </w:t>
      </w:r>
      <w:r>
        <w:rPr>
          <w:iCs/>
          <w:sz w:val="28"/>
          <w:szCs w:val="28"/>
        </w:rPr>
        <w:t>2019 của Hội đồng nhân dân tỉnh quy định tặng Huy hiệu “Vì sự nghiệp xây dựng và phát triển tỉnh An Giang” và tổ chức lấy ý kiến Ủy ban Mặt trận Tổ quốc Việt nam tỉnh; các sở, ban, ngành tỉnh; Ủy ban nhân dân huyện, thị xã, thành phố, đồng thời đăng trên Cổng thông tin điện tử của tỉnh để lấy ý kiến tại Công văn số …/SNV-TĐKT ngày …</w:t>
      </w:r>
      <w:r w:rsidR="004057A4">
        <w:rPr>
          <w:iCs/>
          <w:sz w:val="28"/>
          <w:szCs w:val="28"/>
        </w:rPr>
        <w:t xml:space="preserve"> tháng </w:t>
      </w:r>
      <w:r>
        <w:rPr>
          <w:iCs/>
          <w:sz w:val="28"/>
          <w:szCs w:val="28"/>
        </w:rPr>
        <w:t>…</w:t>
      </w:r>
      <w:r w:rsidR="004057A4">
        <w:rPr>
          <w:iCs/>
          <w:sz w:val="28"/>
          <w:szCs w:val="28"/>
        </w:rPr>
        <w:t xml:space="preserve"> năm </w:t>
      </w:r>
      <w:r>
        <w:rPr>
          <w:iCs/>
          <w:sz w:val="28"/>
          <w:szCs w:val="28"/>
        </w:rPr>
        <w:t>2024. Kết quả: Sở Nội vụ đã nhận được … văn bản góp ý, nội dung ý kiến đóng góp đã được Sở Nội vụ tổng hợp, giải trình, tiếp thu</w:t>
      </w:r>
      <w:r w:rsidR="00CE20E7">
        <w:rPr>
          <w:iCs/>
          <w:sz w:val="28"/>
          <w:szCs w:val="28"/>
        </w:rPr>
        <w:t>.</w:t>
      </w:r>
    </w:p>
    <w:p w:rsidR="00617F55" w:rsidRPr="00523204" w:rsidRDefault="00572445" w:rsidP="00360E31">
      <w:pPr>
        <w:pStyle w:val="NormalWeb"/>
        <w:spacing w:before="120" w:beforeAutospacing="0" w:after="120" w:afterAutospacing="0" w:line="360" w:lineRule="atLeast"/>
        <w:ind w:firstLine="709"/>
        <w:jc w:val="both"/>
        <w:rPr>
          <w:iCs/>
          <w:spacing w:val="-2"/>
          <w:sz w:val="28"/>
          <w:szCs w:val="28"/>
        </w:rPr>
      </w:pPr>
      <w:r w:rsidRPr="00523204">
        <w:rPr>
          <w:iCs/>
          <w:spacing w:val="-2"/>
          <w:sz w:val="28"/>
          <w:szCs w:val="28"/>
        </w:rPr>
        <w:t>Sau khi hoàn thiện dự thảo Nghị quyết theo ý kiến góp ý của các đơn vị, Sở Nội vụ đã gửi Sở Tư pháp thẩm định tại Công văn số …/SNV-TĐKT ngày …</w:t>
      </w:r>
      <w:r w:rsidR="004057A4">
        <w:rPr>
          <w:iCs/>
          <w:spacing w:val="-2"/>
          <w:sz w:val="28"/>
          <w:szCs w:val="28"/>
        </w:rPr>
        <w:t xml:space="preserve"> tháng </w:t>
      </w:r>
      <w:r w:rsidRPr="00523204">
        <w:rPr>
          <w:iCs/>
          <w:spacing w:val="-2"/>
          <w:sz w:val="28"/>
          <w:szCs w:val="28"/>
        </w:rPr>
        <w:t>…</w:t>
      </w:r>
      <w:r w:rsidR="004057A4">
        <w:rPr>
          <w:iCs/>
          <w:spacing w:val="-2"/>
          <w:sz w:val="28"/>
          <w:szCs w:val="28"/>
        </w:rPr>
        <w:t xml:space="preserve"> năm </w:t>
      </w:r>
      <w:r w:rsidRPr="00523204">
        <w:rPr>
          <w:iCs/>
          <w:spacing w:val="-2"/>
          <w:sz w:val="28"/>
          <w:szCs w:val="28"/>
        </w:rPr>
        <w:t>2024. Trên cơ sở Báo cáo số …/BC-STP ngày …</w:t>
      </w:r>
      <w:r w:rsidR="004057A4">
        <w:rPr>
          <w:iCs/>
          <w:spacing w:val="-2"/>
          <w:sz w:val="28"/>
          <w:szCs w:val="28"/>
        </w:rPr>
        <w:t xml:space="preserve"> tháng </w:t>
      </w:r>
      <w:r w:rsidRPr="00523204">
        <w:rPr>
          <w:iCs/>
          <w:spacing w:val="-2"/>
          <w:sz w:val="28"/>
          <w:szCs w:val="28"/>
        </w:rPr>
        <w:t>…</w:t>
      </w:r>
      <w:r w:rsidR="004057A4">
        <w:rPr>
          <w:iCs/>
          <w:spacing w:val="-2"/>
          <w:sz w:val="28"/>
          <w:szCs w:val="28"/>
        </w:rPr>
        <w:t xml:space="preserve"> năm </w:t>
      </w:r>
      <w:r w:rsidRPr="00523204">
        <w:rPr>
          <w:iCs/>
          <w:spacing w:val="-2"/>
          <w:sz w:val="28"/>
          <w:szCs w:val="28"/>
        </w:rPr>
        <w:t>2024 của Sở Tư pháp về kết quả thẩm định dự thảo Nghị quyết bãi bỏ Nghị quyết số 15/2019/NQ-HĐND ngày 11</w:t>
      </w:r>
      <w:r w:rsidR="004057A4">
        <w:rPr>
          <w:iCs/>
          <w:spacing w:val="-2"/>
          <w:sz w:val="28"/>
          <w:szCs w:val="28"/>
        </w:rPr>
        <w:t xml:space="preserve"> tháng </w:t>
      </w:r>
      <w:r w:rsidRPr="00523204">
        <w:rPr>
          <w:iCs/>
          <w:spacing w:val="-2"/>
          <w:sz w:val="28"/>
          <w:szCs w:val="28"/>
        </w:rPr>
        <w:t>12</w:t>
      </w:r>
      <w:r w:rsidR="004057A4">
        <w:rPr>
          <w:iCs/>
          <w:spacing w:val="-2"/>
          <w:sz w:val="28"/>
          <w:szCs w:val="28"/>
        </w:rPr>
        <w:t xml:space="preserve"> năm </w:t>
      </w:r>
      <w:r w:rsidRPr="00523204">
        <w:rPr>
          <w:iCs/>
          <w:spacing w:val="-2"/>
          <w:sz w:val="28"/>
          <w:szCs w:val="28"/>
        </w:rPr>
        <w:t>2019 của Hội đồng nhân dân tỉnh quy định tặng  Huy hiệu “Vì sự nghiệp xây dựng và phát triển tỉnh An Giang”. Đến nay, Sở Nội vụ đã giải trình, tiếp thu ý kiến thẩm định tại Báo cáo số …/BC-</w:t>
      </w:r>
      <w:r w:rsidRPr="00523204">
        <w:rPr>
          <w:iCs/>
          <w:spacing w:val="-2"/>
          <w:sz w:val="28"/>
          <w:szCs w:val="28"/>
        </w:rPr>
        <w:lastRenderedPageBreak/>
        <w:t>SNV ngày …</w:t>
      </w:r>
      <w:r w:rsidR="004057A4">
        <w:rPr>
          <w:iCs/>
          <w:spacing w:val="-2"/>
          <w:sz w:val="28"/>
          <w:szCs w:val="28"/>
        </w:rPr>
        <w:t xml:space="preserve"> tháng </w:t>
      </w:r>
      <w:r w:rsidRPr="00523204">
        <w:rPr>
          <w:iCs/>
          <w:spacing w:val="-2"/>
          <w:sz w:val="28"/>
          <w:szCs w:val="28"/>
        </w:rPr>
        <w:t>…</w:t>
      </w:r>
      <w:r w:rsidR="004057A4">
        <w:rPr>
          <w:iCs/>
          <w:spacing w:val="-2"/>
          <w:sz w:val="28"/>
          <w:szCs w:val="28"/>
        </w:rPr>
        <w:t xml:space="preserve"> năm </w:t>
      </w:r>
      <w:r w:rsidRPr="00523204">
        <w:rPr>
          <w:iCs/>
          <w:spacing w:val="-2"/>
          <w:sz w:val="28"/>
          <w:szCs w:val="28"/>
        </w:rPr>
        <w:t>2024 để hoàn chỉnh dự thảo Nghị quyết theo ý kiến thẩm định của Sở Tư pháp.</w:t>
      </w:r>
    </w:p>
    <w:p w:rsidR="0058774F" w:rsidRPr="00511477" w:rsidRDefault="0058774F" w:rsidP="00360E31">
      <w:pPr>
        <w:widowControl w:val="0"/>
        <w:tabs>
          <w:tab w:val="right" w:leader="dot" w:pos="7920"/>
        </w:tabs>
        <w:spacing w:before="120" w:after="120" w:line="360" w:lineRule="atLeast"/>
        <w:ind w:firstLine="709"/>
        <w:jc w:val="both"/>
        <w:rPr>
          <w:b/>
          <w:spacing w:val="-4"/>
          <w:szCs w:val="28"/>
        </w:rPr>
      </w:pPr>
      <w:r w:rsidRPr="00511477">
        <w:rPr>
          <w:b/>
          <w:spacing w:val="-4"/>
          <w:szCs w:val="28"/>
        </w:rPr>
        <w:t xml:space="preserve">V. BỐ CỤC VÀ NỘI DUNG CƠ BẢN CỦA DỰ THẢO </w:t>
      </w:r>
      <w:r w:rsidR="00BC23D3">
        <w:rPr>
          <w:b/>
          <w:spacing w:val="-4"/>
          <w:szCs w:val="28"/>
        </w:rPr>
        <w:t>NGHỊ QUYẾT</w:t>
      </w:r>
    </w:p>
    <w:p w:rsidR="0058774F" w:rsidRPr="00511477" w:rsidRDefault="0058774F" w:rsidP="00360E31">
      <w:pPr>
        <w:widowControl w:val="0"/>
        <w:tabs>
          <w:tab w:val="right" w:leader="dot" w:pos="7920"/>
        </w:tabs>
        <w:spacing w:before="120" w:after="120" w:line="360" w:lineRule="atLeast"/>
        <w:ind w:firstLine="709"/>
        <w:jc w:val="both"/>
        <w:rPr>
          <w:b/>
          <w:szCs w:val="28"/>
        </w:rPr>
      </w:pPr>
      <w:r w:rsidRPr="00511477">
        <w:rPr>
          <w:b/>
          <w:szCs w:val="28"/>
        </w:rPr>
        <w:t xml:space="preserve">1. Bố cục </w:t>
      </w:r>
    </w:p>
    <w:p w:rsidR="00CE20E7" w:rsidRPr="006451F4" w:rsidRDefault="00CE20E7" w:rsidP="00360E31">
      <w:pPr>
        <w:spacing w:before="120" w:after="120" w:line="360" w:lineRule="atLeast"/>
        <w:ind w:firstLine="709"/>
        <w:jc w:val="both"/>
        <w:rPr>
          <w:lang w:val="nl-NL"/>
        </w:rPr>
      </w:pPr>
      <w:r w:rsidRPr="006451F4">
        <w:rPr>
          <w:lang w:val="nl-NL"/>
        </w:rPr>
        <w:t xml:space="preserve">Dự thảo Nghị quyết bao gồm </w:t>
      </w:r>
      <w:r>
        <w:rPr>
          <w:lang w:val="nl-NL"/>
        </w:rPr>
        <w:t>0</w:t>
      </w:r>
      <w:r w:rsidR="008E3D8A">
        <w:rPr>
          <w:lang w:val="nl-NL"/>
        </w:rPr>
        <w:t>3</w:t>
      </w:r>
      <w:r w:rsidRPr="006451F4">
        <w:rPr>
          <w:lang w:val="nl-NL"/>
        </w:rPr>
        <w:t xml:space="preserve"> Điều</w:t>
      </w:r>
      <w:r>
        <w:rPr>
          <w:lang w:val="nl-NL"/>
        </w:rPr>
        <w:t>:</w:t>
      </w:r>
    </w:p>
    <w:p w:rsidR="00CE20E7" w:rsidRDefault="00CE20E7" w:rsidP="00360E31">
      <w:pPr>
        <w:spacing w:before="120" w:after="120" w:line="360" w:lineRule="atLeast"/>
        <w:ind w:firstLine="709"/>
        <w:jc w:val="both"/>
        <w:rPr>
          <w:spacing w:val="-4"/>
          <w:lang w:val="nl-NL"/>
        </w:rPr>
      </w:pPr>
      <w:r w:rsidRPr="00CE20E7">
        <w:rPr>
          <w:spacing w:val="-4"/>
          <w:lang w:val="nl-NL"/>
        </w:rPr>
        <w:t>Điều 1. Bãi bỏ toàn bộ Nghị quyết</w:t>
      </w:r>
      <w:r w:rsidR="00C52057">
        <w:rPr>
          <w:spacing w:val="-4"/>
          <w:lang w:val="nl-NL"/>
        </w:rPr>
        <w:t>.</w:t>
      </w:r>
    </w:p>
    <w:p w:rsidR="008E3D8A" w:rsidRPr="008E3D8A" w:rsidRDefault="008E3D8A" w:rsidP="008E3D8A">
      <w:pPr>
        <w:spacing w:before="120" w:after="120" w:line="380" w:lineRule="atLeast"/>
        <w:ind w:firstLine="709"/>
        <w:jc w:val="both"/>
        <w:rPr>
          <w:szCs w:val="28"/>
          <w:lang w:val="nb-NO"/>
        </w:rPr>
      </w:pPr>
      <w:r w:rsidRPr="008E3D8A">
        <w:rPr>
          <w:lang w:val="nl-NL"/>
        </w:rPr>
        <w:t xml:space="preserve">Điều 2. </w:t>
      </w:r>
      <w:r w:rsidR="003E2DDB">
        <w:rPr>
          <w:szCs w:val="28"/>
        </w:rPr>
        <w:t>Tổ chức thực hiện</w:t>
      </w:r>
      <w:r w:rsidRPr="008E3D8A">
        <w:rPr>
          <w:szCs w:val="28"/>
        </w:rPr>
        <w:t>.</w:t>
      </w:r>
    </w:p>
    <w:p w:rsidR="00CE20E7" w:rsidRPr="006451F4" w:rsidRDefault="00CE20E7" w:rsidP="00360E31">
      <w:pPr>
        <w:tabs>
          <w:tab w:val="left" w:pos="567"/>
        </w:tabs>
        <w:spacing w:before="120" w:after="120" w:line="360" w:lineRule="atLeast"/>
        <w:ind w:firstLine="709"/>
        <w:jc w:val="both"/>
        <w:rPr>
          <w:lang w:val="nl-NL"/>
        </w:rPr>
      </w:pPr>
      <w:r w:rsidRPr="00850EC4">
        <w:t xml:space="preserve">Điều </w:t>
      </w:r>
      <w:r w:rsidR="008E3D8A">
        <w:t>3</w:t>
      </w:r>
      <w:r w:rsidRPr="00850EC4">
        <w:t xml:space="preserve">. </w:t>
      </w:r>
      <w:r>
        <w:t>Điều khoản thi hành</w:t>
      </w:r>
      <w:r w:rsidR="00C52057">
        <w:t>.</w:t>
      </w:r>
    </w:p>
    <w:p w:rsidR="0058774F" w:rsidRPr="00511477" w:rsidRDefault="0058774F" w:rsidP="00360E31">
      <w:pPr>
        <w:tabs>
          <w:tab w:val="left" w:pos="567"/>
          <w:tab w:val="right" w:leader="dot" w:pos="7920"/>
        </w:tabs>
        <w:spacing w:before="120" w:after="120" w:line="360" w:lineRule="atLeast"/>
        <w:ind w:firstLine="709"/>
        <w:jc w:val="both"/>
        <w:rPr>
          <w:b/>
          <w:szCs w:val="28"/>
        </w:rPr>
      </w:pPr>
      <w:r w:rsidRPr="00511477">
        <w:rPr>
          <w:b/>
          <w:szCs w:val="28"/>
        </w:rPr>
        <w:t xml:space="preserve">2. Nội dung cơ bản của </w:t>
      </w:r>
      <w:r w:rsidR="00BC23D3">
        <w:rPr>
          <w:b/>
          <w:szCs w:val="28"/>
        </w:rPr>
        <w:t>dự thảo Nghị quyết</w:t>
      </w:r>
    </w:p>
    <w:p w:rsidR="00CE20E7" w:rsidRDefault="0058774F" w:rsidP="00360E31">
      <w:pPr>
        <w:pStyle w:val="NormalWeb"/>
        <w:shd w:val="clear" w:color="auto" w:fill="FFFFFF"/>
        <w:spacing w:before="120" w:beforeAutospacing="0" w:after="120" w:afterAutospacing="0" w:line="360" w:lineRule="atLeast"/>
        <w:ind w:firstLine="709"/>
        <w:jc w:val="both"/>
        <w:textAlignment w:val="baseline"/>
        <w:rPr>
          <w:rFonts w:eastAsia="TimesNewRomanPSMT"/>
          <w:sz w:val="28"/>
          <w:szCs w:val="28"/>
          <w:lang w:eastAsia="vi-VN"/>
        </w:rPr>
      </w:pPr>
      <w:r w:rsidRPr="00511477">
        <w:rPr>
          <w:sz w:val="28"/>
          <w:szCs w:val="28"/>
        </w:rPr>
        <w:t xml:space="preserve">Bãi bỏ toàn bộ </w:t>
      </w:r>
      <w:r w:rsidRPr="00511477">
        <w:rPr>
          <w:rFonts w:eastAsia="TimesNewRomanPSMT"/>
          <w:sz w:val="28"/>
          <w:szCs w:val="28"/>
          <w:lang w:eastAsia="vi-VN"/>
        </w:rPr>
        <w:t xml:space="preserve">Nghị quyết số </w:t>
      </w:r>
      <w:r w:rsidR="00B31419">
        <w:rPr>
          <w:iCs/>
          <w:sz w:val="28"/>
          <w:szCs w:val="28"/>
        </w:rPr>
        <w:t>15/2019/NQ-HĐND ngày 11</w:t>
      </w:r>
      <w:r w:rsidR="004057A4">
        <w:rPr>
          <w:iCs/>
          <w:sz w:val="28"/>
          <w:szCs w:val="28"/>
        </w:rPr>
        <w:t xml:space="preserve"> tháng </w:t>
      </w:r>
      <w:r w:rsidR="00B31419">
        <w:rPr>
          <w:iCs/>
          <w:sz w:val="28"/>
          <w:szCs w:val="28"/>
        </w:rPr>
        <w:t>12</w:t>
      </w:r>
      <w:r w:rsidR="004057A4">
        <w:rPr>
          <w:iCs/>
          <w:sz w:val="28"/>
          <w:szCs w:val="28"/>
        </w:rPr>
        <w:t xml:space="preserve"> năm </w:t>
      </w:r>
      <w:r w:rsidR="00B31419">
        <w:rPr>
          <w:iCs/>
          <w:sz w:val="28"/>
          <w:szCs w:val="28"/>
        </w:rPr>
        <w:t>2019 của Hội đồng nhân dân tỉnh quy định tặng  Huy hiệu “Vì sự nghiệp xây dựng và phát triển tỉnh An Giang”.</w:t>
      </w:r>
    </w:p>
    <w:p w:rsidR="00BC23D3" w:rsidRDefault="00BC23D3" w:rsidP="00360E31">
      <w:pPr>
        <w:pStyle w:val="NormalWeb"/>
        <w:shd w:val="clear" w:color="auto" w:fill="FFFFFF"/>
        <w:spacing w:before="120" w:beforeAutospacing="0" w:after="120" w:afterAutospacing="0" w:line="360" w:lineRule="atLeast"/>
        <w:ind w:firstLine="709"/>
        <w:jc w:val="both"/>
        <w:textAlignment w:val="baseline"/>
        <w:rPr>
          <w:rFonts w:eastAsia="TimesNewRomanPSMT"/>
          <w:b/>
          <w:bCs/>
          <w:spacing w:val="-4"/>
          <w:sz w:val="28"/>
          <w:szCs w:val="28"/>
          <w:lang w:eastAsia="vi-VN"/>
        </w:rPr>
      </w:pPr>
      <w:r w:rsidRPr="00BC23D3">
        <w:rPr>
          <w:rFonts w:eastAsia="TimesNewRomanPSMT"/>
          <w:b/>
          <w:bCs/>
          <w:spacing w:val="-4"/>
          <w:sz w:val="28"/>
          <w:szCs w:val="28"/>
          <w:lang w:eastAsia="vi-VN"/>
        </w:rPr>
        <w:t xml:space="preserve">VI. DỰ KIẾN NGUỒN LỰC, ĐIỀU KIỆN BẢO ĐẢM CHO VIỆC THI HÀNH </w:t>
      </w:r>
      <w:r>
        <w:rPr>
          <w:rFonts w:eastAsia="TimesNewRomanPSMT"/>
          <w:b/>
          <w:bCs/>
          <w:spacing w:val="-4"/>
          <w:sz w:val="28"/>
          <w:szCs w:val="28"/>
          <w:lang w:eastAsia="vi-VN"/>
        </w:rPr>
        <w:t>NGHỊ QUYẾT</w:t>
      </w:r>
    </w:p>
    <w:p w:rsidR="009D16AF" w:rsidRPr="001F3F89" w:rsidRDefault="009D16AF" w:rsidP="00360E31">
      <w:pPr>
        <w:pStyle w:val="NormalWeb"/>
        <w:shd w:val="clear" w:color="auto" w:fill="FFFFFF"/>
        <w:spacing w:before="120" w:beforeAutospacing="0" w:after="120" w:afterAutospacing="0" w:line="360" w:lineRule="atLeast"/>
        <w:ind w:firstLine="709"/>
        <w:jc w:val="both"/>
        <w:rPr>
          <w:bCs/>
          <w:sz w:val="28"/>
          <w:szCs w:val="28"/>
        </w:rPr>
      </w:pPr>
      <w:r w:rsidRPr="001F3F89">
        <w:rPr>
          <w:bCs/>
          <w:sz w:val="28"/>
          <w:szCs w:val="28"/>
        </w:rPr>
        <w:t>1. Về nguồn nhân lực thực hiện: Không phát sinh</w:t>
      </w:r>
      <w:r>
        <w:rPr>
          <w:bCs/>
          <w:sz w:val="28"/>
          <w:szCs w:val="28"/>
        </w:rPr>
        <w:t>.</w:t>
      </w:r>
    </w:p>
    <w:p w:rsidR="009D16AF" w:rsidRPr="00335241" w:rsidRDefault="009D16AF" w:rsidP="00360E31">
      <w:pPr>
        <w:pStyle w:val="NormalWeb"/>
        <w:shd w:val="clear" w:color="auto" w:fill="FFFFFF"/>
        <w:spacing w:before="120" w:beforeAutospacing="0" w:after="120" w:afterAutospacing="0" w:line="360" w:lineRule="atLeast"/>
        <w:ind w:firstLine="709"/>
        <w:jc w:val="both"/>
        <w:rPr>
          <w:bCs/>
          <w:sz w:val="28"/>
          <w:szCs w:val="28"/>
        </w:rPr>
      </w:pPr>
      <w:r w:rsidRPr="001F3F89">
        <w:rPr>
          <w:bCs/>
          <w:sz w:val="28"/>
          <w:szCs w:val="28"/>
        </w:rPr>
        <w:t>2. Về kinh phí thực hiện: Không phát sinh</w:t>
      </w:r>
      <w:r>
        <w:rPr>
          <w:bCs/>
          <w:sz w:val="28"/>
          <w:szCs w:val="28"/>
        </w:rPr>
        <w:t>.</w:t>
      </w:r>
    </w:p>
    <w:p w:rsidR="00BC23D3" w:rsidRPr="00BC23D3" w:rsidRDefault="00BC23D3" w:rsidP="00360E31">
      <w:pPr>
        <w:pStyle w:val="NormalWeb"/>
        <w:shd w:val="clear" w:color="auto" w:fill="FFFFFF"/>
        <w:spacing w:before="120" w:beforeAutospacing="0" w:after="120" w:afterAutospacing="0" w:line="360" w:lineRule="atLeast"/>
        <w:ind w:firstLine="709"/>
        <w:jc w:val="both"/>
        <w:textAlignment w:val="baseline"/>
        <w:rPr>
          <w:sz w:val="28"/>
          <w:szCs w:val="28"/>
          <w:lang w:val="nb-NO"/>
        </w:rPr>
      </w:pPr>
      <w:r>
        <w:rPr>
          <w:rFonts w:eastAsia="TimesNewRomanPSMT"/>
          <w:b/>
          <w:bCs/>
          <w:spacing w:val="-4"/>
          <w:sz w:val="28"/>
          <w:szCs w:val="28"/>
          <w:lang w:eastAsia="vi-VN"/>
        </w:rPr>
        <w:t xml:space="preserve">VII. NHỮNG VẤN ĐỀ XIN Ý KIẾN: </w:t>
      </w:r>
      <w:r>
        <w:rPr>
          <w:rFonts w:eastAsia="TimesNewRomanPSMT"/>
          <w:spacing w:val="-4"/>
          <w:sz w:val="28"/>
          <w:szCs w:val="28"/>
          <w:lang w:eastAsia="vi-VN"/>
        </w:rPr>
        <w:t>Không có.</w:t>
      </w:r>
    </w:p>
    <w:p w:rsidR="00A67A5B" w:rsidRPr="004057A4" w:rsidRDefault="0058774F" w:rsidP="00360E31">
      <w:pPr>
        <w:tabs>
          <w:tab w:val="right" w:leader="dot" w:pos="7920"/>
        </w:tabs>
        <w:spacing w:before="120" w:after="120" w:line="360" w:lineRule="atLeast"/>
        <w:ind w:firstLine="709"/>
        <w:jc w:val="both"/>
        <w:rPr>
          <w:szCs w:val="28"/>
        </w:rPr>
      </w:pPr>
      <w:r w:rsidRPr="00511477">
        <w:rPr>
          <w:szCs w:val="28"/>
        </w:rPr>
        <w:tab/>
      </w:r>
      <w:r w:rsidRPr="004057A4">
        <w:rPr>
          <w:szCs w:val="28"/>
        </w:rPr>
        <w:t xml:space="preserve">Trên đây là Tờ trình </w:t>
      </w:r>
      <w:r w:rsidR="00B16DA8" w:rsidRPr="004057A4">
        <w:rPr>
          <w:szCs w:val="28"/>
        </w:rPr>
        <w:t xml:space="preserve">về </w:t>
      </w:r>
      <w:r w:rsidRPr="004057A4">
        <w:rPr>
          <w:szCs w:val="28"/>
        </w:rPr>
        <w:t xml:space="preserve">dự thảo Nghị quyết bãi bỏ </w:t>
      </w:r>
      <w:r w:rsidR="00B1409E" w:rsidRPr="004057A4">
        <w:rPr>
          <w:szCs w:val="28"/>
        </w:rPr>
        <w:t>Nghị quyết số 15/2019/NQ-HĐND ngày 11</w:t>
      </w:r>
      <w:r w:rsidR="004057A4" w:rsidRPr="004057A4">
        <w:rPr>
          <w:szCs w:val="28"/>
        </w:rPr>
        <w:t xml:space="preserve"> tháng </w:t>
      </w:r>
      <w:r w:rsidR="00B1409E" w:rsidRPr="004057A4">
        <w:rPr>
          <w:szCs w:val="28"/>
        </w:rPr>
        <w:t>12</w:t>
      </w:r>
      <w:r w:rsidR="004057A4" w:rsidRPr="004057A4">
        <w:rPr>
          <w:szCs w:val="28"/>
        </w:rPr>
        <w:t xml:space="preserve"> năm </w:t>
      </w:r>
      <w:r w:rsidR="00B1409E" w:rsidRPr="004057A4">
        <w:rPr>
          <w:szCs w:val="28"/>
        </w:rPr>
        <w:t>2019 của Hội đồng nhân dân tỉnh quy định tặng Huy hiệu “Vì sự nghiệp xây dựng và phát triển tỉnh An Giang”</w:t>
      </w:r>
      <w:r w:rsidRPr="004057A4">
        <w:rPr>
          <w:szCs w:val="28"/>
        </w:rPr>
        <w:t>, Ủy ban nhân dân tỉnh xin kính trình Thường trực Hội đồng nhân</w:t>
      </w:r>
      <w:r w:rsidR="00822216" w:rsidRPr="004057A4">
        <w:rPr>
          <w:szCs w:val="28"/>
        </w:rPr>
        <w:t xml:space="preserve"> dân tỉnh xem xét, quyết định.</w:t>
      </w:r>
      <w:r w:rsidR="00237B13" w:rsidRPr="004057A4">
        <w:rPr>
          <w:szCs w:val="28"/>
        </w:rPr>
        <w:t>/.</w:t>
      </w:r>
      <w:r w:rsidR="00822216" w:rsidRPr="004057A4">
        <w:rPr>
          <w:szCs w:val="28"/>
        </w:rPr>
        <w:t xml:space="preserve"> </w:t>
      </w:r>
    </w:p>
    <w:p w:rsidR="00822216" w:rsidRDefault="00822216" w:rsidP="00360E31">
      <w:pPr>
        <w:tabs>
          <w:tab w:val="right" w:leader="dot" w:pos="7920"/>
        </w:tabs>
        <w:spacing w:before="120" w:after="120" w:line="360" w:lineRule="atLeast"/>
        <w:ind w:firstLine="709"/>
        <w:jc w:val="both"/>
        <w:rPr>
          <w:i/>
          <w:szCs w:val="26"/>
        </w:rPr>
      </w:pPr>
      <w:r w:rsidRPr="00511477">
        <w:rPr>
          <w:i/>
          <w:szCs w:val="26"/>
          <w:lang w:val="nl-NL"/>
        </w:rPr>
        <w:t xml:space="preserve">(Xin gửi kèm theo: </w:t>
      </w:r>
      <w:r w:rsidR="00237B13" w:rsidRPr="00511477">
        <w:rPr>
          <w:i/>
          <w:szCs w:val="26"/>
          <w:lang w:val="nl-NL"/>
        </w:rPr>
        <w:t xml:space="preserve">(1) </w:t>
      </w:r>
      <w:r w:rsidR="00B16DA8">
        <w:rPr>
          <w:i/>
          <w:szCs w:val="26"/>
          <w:lang w:val="nl-NL"/>
        </w:rPr>
        <w:t>D</w:t>
      </w:r>
      <w:r w:rsidRPr="00511477">
        <w:rPr>
          <w:i/>
          <w:szCs w:val="26"/>
          <w:lang w:val="nl-NL"/>
        </w:rPr>
        <w:t>ự thảo Nghị quyết</w:t>
      </w:r>
      <w:r w:rsidR="00237B13" w:rsidRPr="00511477">
        <w:rPr>
          <w:i/>
          <w:szCs w:val="26"/>
          <w:lang w:val="nl-NL"/>
        </w:rPr>
        <w:t>;</w:t>
      </w:r>
      <w:r w:rsidRPr="00511477">
        <w:rPr>
          <w:i/>
          <w:szCs w:val="26"/>
          <w:lang w:val="nl-NL"/>
        </w:rPr>
        <w:t xml:space="preserve"> </w:t>
      </w:r>
      <w:r w:rsidR="00237B13" w:rsidRPr="00511477">
        <w:rPr>
          <w:i/>
          <w:szCs w:val="26"/>
          <w:lang w:val="nl-NL"/>
        </w:rPr>
        <w:t xml:space="preserve">(2) </w:t>
      </w:r>
      <w:r w:rsidR="00B16DA8">
        <w:rPr>
          <w:i/>
          <w:szCs w:val="26"/>
          <w:lang w:val="nl-NL"/>
        </w:rPr>
        <w:t>Bản tổng hợp, giải trình, tiếp thu ý kiến góp ý của sở, ngành và địa phương</w:t>
      </w:r>
      <w:r w:rsidR="00237B13" w:rsidRPr="00511477">
        <w:rPr>
          <w:i/>
          <w:szCs w:val="26"/>
          <w:lang w:val="nl-NL"/>
        </w:rPr>
        <w:t>; (</w:t>
      </w:r>
      <w:r w:rsidR="005C27BD">
        <w:rPr>
          <w:i/>
          <w:szCs w:val="26"/>
          <w:lang w:val="vi-VN"/>
        </w:rPr>
        <w:t>3</w:t>
      </w:r>
      <w:r w:rsidR="00237B13" w:rsidRPr="00511477">
        <w:rPr>
          <w:i/>
          <w:szCs w:val="26"/>
          <w:lang w:val="nl-NL"/>
        </w:rPr>
        <w:t xml:space="preserve">) </w:t>
      </w:r>
      <w:r w:rsidR="00B16DA8">
        <w:rPr>
          <w:i/>
          <w:szCs w:val="26"/>
          <w:lang w:val="nl-NL"/>
        </w:rPr>
        <w:t>Bản chụp ý kiến góp ý</w:t>
      </w:r>
      <w:r w:rsidR="005C27BD">
        <w:rPr>
          <w:i/>
          <w:szCs w:val="26"/>
          <w:lang w:val="vi-VN"/>
        </w:rPr>
        <w:t>; (4) Báo cáo thẩm định của Sở Tư pháp</w:t>
      </w:r>
      <w:r w:rsidR="00B16DA8">
        <w:rPr>
          <w:i/>
          <w:szCs w:val="26"/>
        </w:rPr>
        <w:t>; (5) Báo cáo giải trình, tiếp thu ý kiến thẩm định</w:t>
      </w:r>
      <w:r w:rsidRPr="00511477">
        <w:rPr>
          <w:i/>
          <w:szCs w:val="26"/>
        </w:rPr>
        <w:t>).</w:t>
      </w:r>
    </w:p>
    <w:p w:rsidR="00B474F6" w:rsidRDefault="00B474F6" w:rsidP="00207DB3">
      <w:pPr>
        <w:tabs>
          <w:tab w:val="right" w:leader="dot" w:pos="7920"/>
        </w:tabs>
        <w:spacing w:before="120" w:after="120" w:line="300" w:lineRule="atLeast"/>
        <w:ind w:firstLine="720"/>
        <w:jc w:val="both"/>
        <w:rPr>
          <w:i/>
          <w:szCs w:val="26"/>
        </w:rPr>
      </w:pPr>
    </w:p>
    <w:tbl>
      <w:tblPr>
        <w:tblW w:w="8876" w:type="dxa"/>
        <w:jc w:val="center"/>
        <w:tblLook w:val="01E0" w:firstRow="1" w:lastRow="1" w:firstColumn="1" w:lastColumn="1" w:noHBand="0" w:noVBand="0"/>
      </w:tblPr>
      <w:tblGrid>
        <w:gridCol w:w="5103"/>
        <w:gridCol w:w="3773"/>
      </w:tblGrid>
      <w:tr w:rsidR="00921794" w:rsidRPr="00921794" w:rsidTr="00921794">
        <w:trPr>
          <w:trHeight w:val="1541"/>
          <w:jc w:val="center"/>
        </w:trPr>
        <w:tc>
          <w:tcPr>
            <w:tcW w:w="5103" w:type="dxa"/>
          </w:tcPr>
          <w:p w:rsidR="00921794" w:rsidRPr="00921794" w:rsidRDefault="00921794" w:rsidP="00C84346">
            <w:pPr>
              <w:rPr>
                <w:b/>
                <w:bCs/>
                <w:i/>
                <w:sz w:val="24"/>
                <w:szCs w:val="28"/>
                <w:lang w:val="x-none" w:eastAsia="x-none"/>
              </w:rPr>
            </w:pPr>
            <w:r w:rsidRPr="00921794">
              <w:rPr>
                <w:b/>
                <w:bCs/>
                <w:i/>
                <w:sz w:val="24"/>
                <w:szCs w:val="28"/>
                <w:lang w:val="vi-VN" w:eastAsia="x-none"/>
              </w:rPr>
              <w:t>Nơi nhận:</w:t>
            </w:r>
          </w:p>
          <w:p w:rsidR="00C84346" w:rsidRPr="006C1CB6" w:rsidRDefault="00C84346" w:rsidP="00C84346">
            <w:pPr>
              <w:jc w:val="both"/>
              <w:rPr>
                <w:sz w:val="22"/>
                <w:szCs w:val="22"/>
                <w:lang w:val="nl-NL"/>
              </w:rPr>
            </w:pPr>
            <w:r>
              <w:rPr>
                <w:sz w:val="22"/>
                <w:szCs w:val="22"/>
                <w:lang w:val="nl-NL"/>
              </w:rPr>
              <w:t>- Như trên;</w:t>
            </w:r>
            <w:r>
              <w:rPr>
                <w:sz w:val="22"/>
                <w:szCs w:val="22"/>
                <w:lang w:val="nl-NL"/>
              </w:rPr>
              <w:tab/>
            </w:r>
            <w:r>
              <w:rPr>
                <w:sz w:val="22"/>
                <w:szCs w:val="22"/>
                <w:lang w:val="nl-NL"/>
              </w:rPr>
              <w:tab/>
            </w:r>
            <w:r>
              <w:rPr>
                <w:sz w:val="22"/>
                <w:szCs w:val="22"/>
                <w:lang w:val="nl-NL"/>
              </w:rPr>
              <w:tab/>
            </w:r>
            <w:r w:rsidRPr="006C1CB6">
              <w:rPr>
                <w:sz w:val="22"/>
                <w:szCs w:val="22"/>
                <w:lang w:val="nl-NL"/>
              </w:rPr>
              <w:tab/>
              <w:t xml:space="preserve">      </w:t>
            </w:r>
          </w:p>
          <w:p w:rsidR="000D1272" w:rsidRPr="000858C6" w:rsidRDefault="000D1272" w:rsidP="00C84346">
            <w:pPr>
              <w:jc w:val="both"/>
              <w:rPr>
                <w:sz w:val="22"/>
                <w:szCs w:val="22"/>
                <w:lang w:val="nb-NO"/>
              </w:rPr>
            </w:pPr>
            <w:r>
              <w:rPr>
                <w:sz w:val="22"/>
                <w:szCs w:val="22"/>
                <w:lang w:val="nb-NO"/>
              </w:rPr>
              <w:t>- Chủ tịch, các PCT UBND tỉnh;</w:t>
            </w:r>
          </w:p>
          <w:p w:rsidR="00C84346" w:rsidRPr="000858C6" w:rsidRDefault="00C84346" w:rsidP="00C84346">
            <w:pPr>
              <w:jc w:val="both"/>
              <w:rPr>
                <w:sz w:val="22"/>
                <w:szCs w:val="22"/>
                <w:lang w:val="nb-NO"/>
              </w:rPr>
            </w:pPr>
            <w:r w:rsidRPr="000858C6">
              <w:rPr>
                <w:sz w:val="22"/>
                <w:szCs w:val="22"/>
                <w:lang w:val="nb-NO"/>
              </w:rPr>
              <w:t>- VP.</w:t>
            </w:r>
            <w:r>
              <w:rPr>
                <w:sz w:val="22"/>
                <w:szCs w:val="22"/>
                <w:lang w:val="nb-NO"/>
              </w:rPr>
              <w:t xml:space="preserve"> </w:t>
            </w:r>
            <w:r w:rsidRPr="000858C6">
              <w:rPr>
                <w:sz w:val="22"/>
                <w:szCs w:val="22"/>
                <w:lang w:val="nb-NO"/>
              </w:rPr>
              <w:t>UBND tỉnh</w:t>
            </w:r>
            <w:r w:rsidR="000D1272">
              <w:rPr>
                <w:sz w:val="22"/>
                <w:szCs w:val="22"/>
                <w:lang w:val="nb-NO"/>
              </w:rPr>
              <w:t>: Lãnh đạo VP, P. TH;</w:t>
            </w:r>
          </w:p>
          <w:p w:rsidR="00C84346" w:rsidRDefault="00C84346" w:rsidP="00C84346">
            <w:pPr>
              <w:jc w:val="both"/>
              <w:rPr>
                <w:sz w:val="22"/>
                <w:szCs w:val="22"/>
                <w:lang w:val="nb-NO"/>
              </w:rPr>
            </w:pPr>
            <w:r>
              <w:rPr>
                <w:sz w:val="22"/>
                <w:szCs w:val="22"/>
                <w:lang w:val="nb-NO"/>
              </w:rPr>
              <w:t xml:space="preserve">- </w:t>
            </w:r>
            <w:r w:rsidR="000D1272">
              <w:rPr>
                <w:sz w:val="22"/>
                <w:szCs w:val="22"/>
                <w:lang w:val="nb-NO"/>
              </w:rPr>
              <w:t xml:space="preserve">Các Sở: </w:t>
            </w:r>
            <w:r>
              <w:rPr>
                <w:sz w:val="22"/>
                <w:szCs w:val="22"/>
                <w:lang w:val="nb-NO"/>
              </w:rPr>
              <w:t>Tư pháp</w:t>
            </w:r>
            <w:r w:rsidR="000D1272">
              <w:rPr>
                <w:sz w:val="22"/>
                <w:szCs w:val="22"/>
                <w:lang w:val="nb-NO"/>
              </w:rPr>
              <w:t>, Nội vụ</w:t>
            </w:r>
            <w:r>
              <w:rPr>
                <w:sz w:val="22"/>
                <w:szCs w:val="22"/>
                <w:lang w:val="nb-NO"/>
              </w:rPr>
              <w:t>;</w:t>
            </w:r>
          </w:p>
          <w:p w:rsidR="00921794" w:rsidRPr="00921794" w:rsidRDefault="00C84346" w:rsidP="00C84346">
            <w:pPr>
              <w:rPr>
                <w:bCs/>
                <w:sz w:val="22"/>
                <w:szCs w:val="22"/>
                <w:lang w:val="x-none" w:eastAsia="x-none"/>
              </w:rPr>
            </w:pPr>
            <w:r>
              <w:rPr>
                <w:sz w:val="22"/>
                <w:szCs w:val="22"/>
                <w:lang w:val="nl-NL"/>
              </w:rPr>
              <w:t>- Lưu: VT, TH</w:t>
            </w:r>
            <w:r w:rsidRPr="006C1CB6">
              <w:rPr>
                <w:sz w:val="22"/>
                <w:szCs w:val="22"/>
                <w:lang w:val="nl-NL"/>
              </w:rPr>
              <w:t>.</w:t>
            </w:r>
          </w:p>
        </w:tc>
        <w:tc>
          <w:tcPr>
            <w:tcW w:w="3773" w:type="dxa"/>
          </w:tcPr>
          <w:p w:rsidR="00921794" w:rsidRPr="00921794" w:rsidRDefault="00921794" w:rsidP="00921794">
            <w:pPr>
              <w:jc w:val="center"/>
              <w:rPr>
                <w:b/>
                <w:bCs/>
                <w:szCs w:val="28"/>
                <w:lang w:val="vi-VN" w:eastAsia="x-none"/>
              </w:rPr>
            </w:pPr>
            <w:r w:rsidRPr="00921794">
              <w:rPr>
                <w:b/>
                <w:bCs/>
                <w:szCs w:val="28"/>
                <w:lang w:val="vi-VN" w:eastAsia="x-none"/>
              </w:rPr>
              <w:t>TM. ỦY BAN NHÂN DÂN</w:t>
            </w:r>
          </w:p>
          <w:p w:rsidR="00921794" w:rsidRPr="00921794" w:rsidRDefault="00921794" w:rsidP="00921794">
            <w:pPr>
              <w:jc w:val="center"/>
              <w:rPr>
                <w:b/>
                <w:bCs/>
                <w:szCs w:val="28"/>
                <w:lang w:val="vi-VN" w:eastAsia="x-none"/>
              </w:rPr>
            </w:pPr>
            <w:r w:rsidRPr="00921794">
              <w:rPr>
                <w:b/>
                <w:bCs/>
                <w:szCs w:val="28"/>
                <w:lang w:val="vi-VN" w:eastAsia="x-none"/>
              </w:rPr>
              <w:t>CHỦ TỊCH</w:t>
            </w:r>
          </w:p>
          <w:p w:rsidR="00921794" w:rsidRPr="00921794" w:rsidRDefault="00921794" w:rsidP="00360E31">
            <w:pPr>
              <w:rPr>
                <w:b/>
                <w:bCs/>
                <w:szCs w:val="28"/>
                <w:lang w:eastAsia="x-none"/>
              </w:rPr>
            </w:pPr>
          </w:p>
        </w:tc>
      </w:tr>
    </w:tbl>
    <w:p w:rsidR="00CA3327" w:rsidRDefault="00CA3327">
      <w:pPr>
        <w:rPr>
          <w:szCs w:val="28"/>
        </w:rPr>
        <w:sectPr w:rsidR="00CA3327" w:rsidSect="00B31419">
          <w:headerReference w:type="default" r:id="rId8"/>
          <w:headerReference w:type="first" r:id="rId9"/>
          <w:footerReference w:type="first" r:id="rId10"/>
          <w:pgSz w:w="11907" w:h="16840" w:code="9"/>
          <w:pgMar w:top="1134" w:right="1134" w:bottom="1134" w:left="1701" w:header="567" w:footer="567" w:gutter="0"/>
          <w:pgNumType w:start="1"/>
          <w:cols w:space="720"/>
          <w:titlePg/>
          <w:docGrid w:linePitch="381"/>
        </w:sectPr>
      </w:pPr>
    </w:p>
    <w:p w:rsidR="002C238A" w:rsidRPr="00B5097B" w:rsidRDefault="002C238A">
      <w:pPr>
        <w:rPr>
          <w:sz w:val="2"/>
          <w:szCs w:val="2"/>
        </w:rPr>
      </w:pPr>
    </w:p>
    <w:sectPr w:rsidR="002C238A" w:rsidRPr="00B5097B" w:rsidSect="00CA3327">
      <w:pgSz w:w="11907" w:h="16840" w:code="9"/>
      <w:pgMar w:top="1134" w:right="1134" w:bottom="851"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B0A6C" w:rsidRDefault="005B0A6C">
      <w:r>
        <w:separator/>
      </w:r>
    </w:p>
  </w:endnote>
  <w:endnote w:type="continuationSeparator" w:id="0">
    <w:p w:rsidR="005B0A6C" w:rsidRDefault="005B0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A3327" w:rsidRDefault="00CA3327">
    <w:pPr>
      <w:pStyle w:val="Footer"/>
      <w:jc w:val="center"/>
    </w:pPr>
  </w:p>
  <w:p w:rsidR="00CA3327" w:rsidRDefault="00CA3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B0A6C" w:rsidRDefault="005B0A6C">
      <w:r>
        <w:separator/>
      </w:r>
    </w:p>
  </w:footnote>
  <w:footnote w:type="continuationSeparator" w:id="0">
    <w:p w:rsidR="005B0A6C" w:rsidRDefault="005B0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A3327" w:rsidRPr="00B31419" w:rsidRDefault="00CA3327" w:rsidP="00CA3327">
    <w:pPr>
      <w:pStyle w:val="Header"/>
      <w:jc w:val="center"/>
      <w:rPr>
        <w:sz w:val="26"/>
        <w:szCs w:val="26"/>
      </w:rPr>
    </w:pPr>
    <w:r w:rsidRPr="00B31419">
      <w:rPr>
        <w:sz w:val="26"/>
        <w:szCs w:val="26"/>
      </w:rPr>
      <w:fldChar w:fldCharType="begin"/>
    </w:r>
    <w:r w:rsidRPr="00B31419">
      <w:rPr>
        <w:sz w:val="26"/>
        <w:szCs w:val="26"/>
      </w:rPr>
      <w:instrText xml:space="preserve"> PAGE   \* MERGEFORMAT </w:instrText>
    </w:r>
    <w:r w:rsidRPr="00B31419">
      <w:rPr>
        <w:sz w:val="26"/>
        <w:szCs w:val="26"/>
      </w:rPr>
      <w:fldChar w:fldCharType="separate"/>
    </w:r>
    <w:r w:rsidR="00E24D01" w:rsidRPr="00B31419">
      <w:rPr>
        <w:noProof/>
        <w:sz w:val="26"/>
        <w:szCs w:val="26"/>
      </w:rPr>
      <w:t>2</w:t>
    </w:r>
    <w:r w:rsidRPr="00B31419">
      <w:rPr>
        <w:noProof/>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A3327" w:rsidRDefault="00CA3327">
    <w:pPr>
      <w:pStyle w:val="Header"/>
      <w:jc w:val="center"/>
    </w:pPr>
  </w:p>
  <w:p w:rsidR="00CA3327" w:rsidRDefault="00CA3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32F33"/>
    <w:multiLevelType w:val="hybridMultilevel"/>
    <w:tmpl w:val="A5FEA28E"/>
    <w:lvl w:ilvl="0" w:tplc="D5B2AC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CB52C1"/>
    <w:multiLevelType w:val="hybridMultilevel"/>
    <w:tmpl w:val="3B42CC72"/>
    <w:lvl w:ilvl="0" w:tplc="7C9A86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81C4849"/>
    <w:multiLevelType w:val="multilevel"/>
    <w:tmpl w:val="F33E542A"/>
    <w:lvl w:ilvl="0">
      <w:start w:val="1"/>
      <w:numFmt w:val="decimal"/>
      <w:lvlText w:val="%1."/>
      <w:lvlJc w:val="left"/>
      <w:pPr>
        <w:ind w:left="1040" w:hanging="360"/>
      </w:pPr>
      <w:rPr>
        <w:rFonts w:hint="default"/>
      </w:rPr>
    </w:lvl>
    <w:lvl w:ilvl="1">
      <w:start w:val="1"/>
      <w:numFmt w:val="decimal"/>
      <w:isLgl/>
      <w:lvlText w:val="%1.%2."/>
      <w:lvlJc w:val="left"/>
      <w:pPr>
        <w:ind w:left="1400" w:hanging="72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60" w:hanging="108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480" w:hanging="1800"/>
      </w:pPr>
      <w:rPr>
        <w:rFonts w:hint="default"/>
      </w:rPr>
    </w:lvl>
    <w:lvl w:ilvl="7">
      <w:start w:val="1"/>
      <w:numFmt w:val="decimal"/>
      <w:isLgl/>
      <w:lvlText w:val="%1.%2.%3.%4.%5.%6.%7.%8."/>
      <w:lvlJc w:val="left"/>
      <w:pPr>
        <w:ind w:left="2480" w:hanging="1800"/>
      </w:pPr>
      <w:rPr>
        <w:rFonts w:hint="default"/>
      </w:rPr>
    </w:lvl>
    <w:lvl w:ilvl="8">
      <w:start w:val="1"/>
      <w:numFmt w:val="decimal"/>
      <w:isLgl/>
      <w:lvlText w:val="%1.%2.%3.%4.%5.%6.%7.%8.%9."/>
      <w:lvlJc w:val="left"/>
      <w:pPr>
        <w:ind w:left="2840" w:hanging="2160"/>
      </w:pPr>
      <w:rPr>
        <w:rFonts w:hint="default"/>
      </w:rPr>
    </w:lvl>
  </w:abstractNum>
  <w:abstractNum w:abstractNumId="3" w15:restartNumberingAfterBreak="0">
    <w:nsid w:val="7D49301F"/>
    <w:multiLevelType w:val="hybridMultilevel"/>
    <w:tmpl w:val="CCEC0186"/>
    <w:lvl w:ilvl="0" w:tplc="9A4AB1A0">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16cid:durableId="1247812524">
    <w:abstractNumId w:val="2"/>
  </w:num>
  <w:num w:numId="2" w16cid:durableId="1059522879">
    <w:abstractNumId w:val="3"/>
  </w:num>
  <w:num w:numId="3" w16cid:durableId="81338576">
    <w:abstractNumId w:val="0"/>
  </w:num>
  <w:num w:numId="4" w16cid:durableId="120344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572F"/>
    <w:rsid w:val="00001257"/>
    <w:rsid w:val="00030EE0"/>
    <w:rsid w:val="00046D98"/>
    <w:rsid w:val="00050859"/>
    <w:rsid w:val="000813BE"/>
    <w:rsid w:val="000A5187"/>
    <w:rsid w:val="000D016D"/>
    <w:rsid w:val="000D1272"/>
    <w:rsid w:val="000E654C"/>
    <w:rsid w:val="00153E27"/>
    <w:rsid w:val="0015513A"/>
    <w:rsid w:val="00160525"/>
    <w:rsid w:val="00170CF3"/>
    <w:rsid w:val="00186ECC"/>
    <w:rsid w:val="001A7FE9"/>
    <w:rsid w:val="001C7BFF"/>
    <w:rsid w:val="001D4EC5"/>
    <w:rsid w:val="001E67B8"/>
    <w:rsid w:val="00202632"/>
    <w:rsid w:val="00207246"/>
    <w:rsid w:val="00207DB3"/>
    <w:rsid w:val="00213139"/>
    <w:rsid w:val="00224B2E"/>
    <w:rsid w:val="00230D11"/>
    <w:rsid w:val="00237B13"/>
    <w:rsid w:val="00254315"/>
    <w:rsid w:val="0025781F"/>
    <w:rsid w:val="002645C7"/>
    <w:rsid w:val="002A3C61"/>
    <w:rsid w:val="002C238A"/>
    <w:rsid w:val="002D24A6"/>
    <w:rsid w:val="002D3B52"/>
    <w:rsid w:val="002E4FD9"/>
    <w:rsid w:val="002F7BEC"/>
    <w:rsid w:val="00302F8A"/>
    <w:rsid w:val="00342A32"/>
    <w:rsid w:val="00344F85"/>
    <w:rsid w:val="0035643A"/>
    <w:rsid w:val="00357260"/>
    <w:rsid w:val="00357B29"/>
    <w:rsid w:val="00360E31"/>
    <w:rsid w:val="00383A35"/>
    <w:rsid w:val="003C5CDF"/>
    <w:rsid w:val="003D2B1A"/>
    <w:rsid w:val="003D7E1B"/>
    <w:rsid w:val="003E2DDB"/>
    <w:rsid w:val="004013B9"/>
    <w:rsid w:val="00401FBE"/>
    <w:rsid w:val="004057A4"/>
    <w:rsid w:val="00406351"/>
    <w:rsid w:val="00440905"/>
    <w:rsid w:val="004440B8"/>
    <w:rsid w:val="004626CE"/>
    <w:rsid w:val="00470633"/>
    <w:rsid w:val="00475B47"/>
    <w:rsid w:val="00486897"/>
    <w:rsid w:val="004A3211"/>
    <w:rsid w:val="004B1354"/>
    <w:rsid w:val="004B4C34"/>
    <w:rsid w:val="004E260D"/>
    <w:rsid w:val="004F012B"/>
    <w:rsid w:val="004F7201"/>
    <w:rsid w:val="00502460"/>
    <w:rsid w:val="0050253A"/>
    <w:rsid w:val="005070DC"/>
    <w:rsid w:val="00507F08"/>
    <w:rsid w:val="00511477"/>
    <w:rsid w:val="00514AB6"/>
    <w:rsid w:val="00523204"/>
    <w:rsid w:val="005236C2"/>
    <w:rsid w:val="00541708"/>
    <w:rsid w:val="005468D5"/>
    <w:rsid w:val="005542F9"/>
    <w:rsid w:val="0056379E"/>
    <w:rsid w:val="00572445"/>
    <w:rsid w:val="0058774F"/>
    <w:rsid w:val="00594424"/>
    <w:rsid w:val="005B0A6C"/>
    <w:rsid w:val="005C27BD"/>
    <w:rsid w:val="005D04DD"/>
    <w:rsid w:val="005D2B06"/>
    <w:rsid w:val="00606805"/>
    <w:rsid w:val="006122DE"/>
    <w:rsid w:val="006176B7"/>
    <w:rsid w:val="00617F55"/>
    <w:rsid w:val="00681B0B"/>
    <w:rsid w:val="006D46DF"/>
    <w:rsid w:val="0071646C"/>
    <w:rsid w:val="00732D05"/>
    <w:rsid w:val="00736657"/>
    <w:rsid w:val="007500F0"/>
    <w:rsid w:val="00754CF7"/>
    <w:rsid w:val="00775387"/>
    <w:rsid w:val="00786C52"/>
    <w:rsid w:val="007B50E4"/>
    <w:rsid w:val="007C0FA8"/>
    <w:rsid w:val="007D18EE"/>
    <w:rsid w:val="007D1E36"/>
    <w:rsid w:val="007D35B2"/>
    <w:rsid w:val="008045C9"/>
    <w:rsid w:val="0080655E"/>
    <w:rsid w:val="00822216"/>
    <w:rsid w:val="00830EAC"/>
    <w:rsid w:val="00831119"/>
    <w:rsid w:val="00833375"/>
    <w:rsid w:val="00851042"/>
    <w:rsid w:val="00867C98"/>
    <w:rsid w:val="00875F2E"/>
    <w:rsid w:val="008A4DAE"/>
    <w:rsid w:val="008A5A78"/>
    <w:rsid w:val="008C35A3"/>
    <w:rsid w:val="008E2FF7"/>
    <w:rsid w:val="008E3D8A"/>
    <w:rsid w:val="008F0A53"/>
    <w:rsid w:val="008F1703"/>
    <w:rsid w:val="008F7D43"/>
    <w:rsid w:val="00914560"/>
    <w:rsid w:val="00916D39"/>
    <w:rsid w:val="00921794"/>
    <w:rsid w:val="00942806"/>
    <w:rsid w:val="00953255"/>
    <w:rsid w:val="00961C70"/>
    <w:rsid w:val="00967D54"/>
    <w:rsid w:val="009818AF"/>
    <w:rsid w:val="00993813"/>
    <w:rsid w:val="009D07F2"/>
    <w:rsid w:val="009D16AF"/>
    <w:rsid w:val="00A47B9D"/>
    <w:rsid w:val="00A67A5B"/>
    <w:rsid w:val="00A82C31"/>
    <w:rsid w:val="00A85DA9"/>
    <w:rsid w:val="00A85FBB"/>
    <w:rsid w:val="00AA03DC"/>
    <w:rsid w:val="00AB572F"/>
    <w:rsid w:val="00AC2456"/>
    <w:rsid w:val="00AD53AB"/>
    <w:rsid w:val="00AD7459"/>
    <w:rsid w:val="00B1409E"/>
    <w:rsid w:val="00B16DA8"/>
    <w:rsid w:val="00B21359"/>
    <w:rsid w:val="00B31419"/>
    <w:rsid w:val="00B474F6"/>
    <w:rsid w:val="00B5097B"/>
    <w:rsid w:val="00B67F9B"/>
    <w:rsid w:val="00BB6978"/>
    <w:rsid w:val="00BC0F3B"/>
    <w:rsid w:val="00BC111F"/>
    <w:rsid w:val="00BC23D3"/>
    <w:rsid w:val="00BC28E7"/>
    <w:rsid w:val="00BC2D89"/>
    <w:rsid w:val="00BD2F10"/>
    <w:rsid w:val="00BE194C"/>
    <w:rsid w:val="00BE687B"/>
    <w:rsid w:val="00BE739A"/>
    <w:rsid w:val="00BF3747"/>
    <w:rsid w:val="00BF4FD7"/>
    <w:rsid w:val="00C14126"/>
    <w:rsid w:val="00C16168"/>
    <w:rsid w:val="00C177A3"/>
    <w:rsid w:val="00C52057"/>
    <w:rsid w:val="00C56C02"/>
    <w:rsid w:val="00C728A4"/>
    <w:rsid w:val="00C83079"/>
    <w:rsid w:val="00C84346"/>
    <w:rsid w:val="00CA3327"/>
    <w:rsid w:val="00CB4BCD"/>
    <w:rsid w:val="00CC47AB"/>
    <w:rsid w:val="00CE20E7"/>
    <w:rsid w:val="00CF0005"/>
    <w:rsid w:val="00D3100E"/>
    <w:rsid w:val="00D40133"/>
    <w:rsid w:val="00D4584A"/>
    <w:rsid w:val="00D50AA0"/>
    <w:rsid w:val="00D63D6A"/>
    <w:rsid w:val="00D75071"/>
    <w:rsid w:val="00D93993"/>
    <w:rsid w:val="00DE049B"/>
    <w:rsid w:val="00E22D98"/>
    <w:rsid w:val="00E24D01"/>
    <w:rsid w:val="00E435D6"/>
    <w:rsid w:val="00E45877"/>
    <w:rsid w:val="00E5766E"/>
    <w:rsid w:val="00E66087"/>
    <w:rsid w:val="00E9063B"/>
    <w:rsid w:val="00EA3AF6"/>
    <w:rsid w:val="00EB7CDE"/>
    <w:rsid w:val="00EC4A18"/>
    <w:rsid w:val="00F370D8"/>
    <w:rsid w:val="00F37495"/>
    <w:rsid w:val="00F55312"/>
    <w:rsid w:val="00F72E48"/>
    <w:rsid w:val="00F73B87"/>
    <w:rsid w:val="00F763FD"/>
    <w:rsid w:val="00FA5CB3"/>
    <w:rsid w:val="00FA5D94"/>
    <w:rsid w:val="00FD5238"/>
    <w:rsid w:val="00FD5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0430D"/>
  <w15:docId w15:val="{7FAC6470-1923-4A7A-B240-124F2268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72F"/>
    <w:pPr>
      <w:spacing w:after="0" w:line="240" w:lineRule="auto"/>
    </w:pPr>
    <w:rPr>
      <w:rFonts w:ascii="Times New Roman" w:eastAsia="Times New Roman" w:hAnsi="Times New Roman" w:cs="Times New Roman"/>
      <w:sz w:val="28"/>
      <w:szCs w:val="24"/>
    </w:rPr>
  </w:style>
  <w:style w:type="paragraph" w:styleId="Heading2">
    <w:name w:val="heading 2"/>
    <w:basedOn w:val="Normal"/>
    <w:next w:val="Normal"/>
    <w:link w:val="Heading2Char"/>
    <w:qFormat/>
    <w:rsid w:val="00AB572F"/>
    <w:pPr>
      <w:keepNext/>
      <w:jc w:val="center"/>
      <w:outlineLvl w:val="1"/>
    </w:pPr>
    <w:rPr>
      <w:b/>
      <w:bCs/>
    </w:rPr>
  </w:style>
  <w:style w:type="paragraph" w:styleId="Heading3">
    <w:name w:val="heading 3"/>
    <w:basedOn w:val="Normal"/>
    <w:next w:val="Normal"/>
    <w:link w:val="Heading3Char"/>
    <w:qFormat/>
    <w:rsid w:val="00AB572F"/>
    <w:pPr>
      <w:keepNext/>
      <w:jc w:val="center"/>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B572F"/>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rsid w:val="00AB572F"/>
    <w:rPr>
      <w:rFonts w:ascii="Times New Roman" w:eastAsia="Times New Roman" w:hAnsi="Times New Roman" w:cs="Times New Roman"/>
      <w:i/>
      <w:iCs/>
      <w:sz w:val="28"/>
      <w:szCs w:val="24"/>
    </w:rPr>
  </w:style>
  <w:style w:type="paragraph" w:styleId="BodyText">
    <w:name w:val="Body Text"/>
    <w:basedOn w:val="Normal"/>
    <w:link w:val="BodyTextChar"/>
    <w:rsid w:val="00AB572F"/>
    <w:pPr>
      <w:jc w:val="center"/>
    </w:pPr>
    <w:rPr>
      <w:b/>
      <w:bCs/>
      <w:sz w:val="24"/>
    </w:rPr>
  </w:style>
  <w:style w:type="character" w:customStyle="1" w:styleId="BodyTextChar">
    <w:name w:val="Body Text Char"/>
    <w:basedOn w:val="DefaultParagraphFont"/>
    <w:link w:val="BodyText"/>
    <w:rsid w:val="00AB572F"/>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AB572F"/>
    <w:pPr>
      <w:tabs>
        <w:tab w:val="center" w:pos="4680"/>
        <w:tab w:val="right" w:pos="9360"/>
      </w:tabs>
    </w:pPr>
  </w:style>
  <w:style w:type="character" w:customStyle="1" w:styleId="HeaderChar">
    <w:name w:val="Header Char"/>
    <w:basedOn w:val="DefaultParagraphFont"/>
    <w:link w:val="Header"/>
    <w:uiPriority w:val="99"/>
    <w:rsid w:val="00AB572F"/>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AB572F"/>
    <w:pPr>
      <w:tabs>
        <w:tab w:val="center" w:pos="4680"/>
        <w:tab w:val="right" w:pos="9360"/>
      </w:tabs>
    </w:pPr>
  </w:style>
  <w:style w:type="character" w:customStyle="1" w:styleId="FooterChar">
    <w:name w:val="Footer Char"/>
    <w:basedOn w:val="DefaultParagraphFont"/>
    <w:link w:val="Footer"/>
    <w:uiPriority w:val="99"/>
    <w:rsid w:val="00AB572F"/>
    <w:rPr>
      <w:rFonts w:ascii="Times New Roman" w:eastAsia="Times New Roman" w:hAnsi="Times New Roman" w:cs="Times New Roman"/>
      <w:sz w:val="28"/>
      <w:szCs w:val="24"/>
    </w:rPr>
  </w:style>
  <w:style w:type="paragraph" w:styleId="BodyTextIndent2">
    <w:name w:val="Body Text Indent 2"/>
    <w:basedOn w:val="Normal"/>
    <w:link w:val="BodyTextIndent2Char"/>
    <w:unhideWhenUsed/>
    <w:rsid w:val="00AB572F"/>
    <w:pPr>
      <w:spacing w:after="120" w:line="480" w:lineRule="auto"/>
      <w:ind w:left="360"/>
    </w:pPr>
  </w:style>
  <w:style w:type="character" w:customStyle="1" w:styleId="BodyTextIndent2Char">
    <w:name w:val="Body Text Indent 2 Char"/>
    <w:basedOn w:val="DefaultParagraphFont"/>
    <w:link w:val="BodyTextIndent2"/>
    <w:rsid w:val="00AB572F"/>
    <w:rPr>
      <w:rFonts w:ascii="Times New Roman" w:eastAsia="Times New Roman" w:hAnsi="Times New Roman" w:cs="Times New Roman"/>
      <w:sz w:val="28"/>
      <w:szCs w:val="24"/>
    </w:rPr>
  </w:style>
  <w:style w:type="paragraph" w:styleId="BodyTextIndent">
    <w:name w:val="Body Text Indent"/>
    <w:basedOn w:val="Normal"/>
    <w:link w:val="BodyTextIndentChar"/>
    <w:uiPriority w:val="99"/>
    <w:unhideWhenUsed/>
    <w:rsid w:val="00AB572F"/>
    <w:pPr>
      <w:spacing w:after="120"/>
      <w:ind w:left="360"/>
    </w:pPr>
    <w:rPr>
      <w:szCs w:val="28"/>
    </w:rPr>
  </w:style>
  <w:style w:type="character" w:customStyle="1" w:styleId="BodyTextIndentChar">
    <w:name w:val="Body Text Indent Char"/>
    <w:basedOn w:val="DefaultParagraphFont"/>
    <w:link w:val="BodyTextIndent"/>
    <w:uiPriority w:val="99"/>
    <w:rsid w:val="00AB572F"/>
    <w:rPr>
      <w:rFonts w:ascii="Times New Roman" w:eastAsia="Times New Roman" w:hAnsi="Times New Roman" w:cs="Times New Roman"/>
      <w:sz w:val="28"/>
      <w:szCs w:val="28"/>
    </w:rPr>
  </w:style>
  <w:style w:type="paragraph" w:styleId="NormalWeb">
    <w:name w:val="Normal (Web)"/>
    <w:basedOn w:val="Normal"/>
    <w:link w:val="NormalWebChar"/>
    <w:uiPriority w:val="99"/>
    <w:unhideWhenUsed/>
    <w:rsid w:val="00AB572F"/>
    <w:pPr>
      <w:spacing w:before="100" w:beforeAutospacing="1" w:after="100" w:afterAutospacing="1"/>
    </w:pPr>
    <w:rPr>
      <w:sz w:val="24"/>
    </w:rPr>
  </w:style>
  <w:style w:type="character" w:customStyle="1" w:styleId="NormalWebChar">
    <w:name w:val="Normal (Web) Char"/>
    <w:link w:val="NormalWeb"/>
    <w:uiPriority w:val="99"/>
    <w:locked/>
    <w:rsid w:val="00AB572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3139"/>
    <w:rPr>
      <w:rFonts w:ascii="Tahoma" w:hAnsi="Tahoma" w:cs="Tahoma"/>
      <w:sz w:val="16"/>
      <w:szCs w:val="16"/>
    </w:rPr>
  </w:style>
  <w:style w:type="character" w:customStyle="1" w:styleId="BalloonTextChar">
    <w:name w:val="Balloon Text Char"/>
    <w:basedOn w:val="DefaultParagraphFont"/>
    <w:link w:val="BalloonText"/>
    <w:uiPriority w:val="99"/>
    <w:semiHidden/>
    <w:rsid w:val="00213139"/>
    <w:rPr>
      <w:rFonts w:ascii="Tahoma" w:eastAsia="Times New Roman" w:hAnsi="Tahoma" w:cs="Tahoma"/>
      <w:sz w:val="16"/>
      <w:szCs w:val="16"/>
    </w:rPr>
  </w:style>
  <w:style w:type="paragraph" w:styleId="ListParagraph">
    <w:name w:val="List Paragraph"/>
    <w:basedOn w:val="Normal"/>
    <w:uiPriority w:val="34"/>
    <w:qFormat/>
    <w:rsid w:val="002D24A6"/>
    <w:pPr>
      <w:ind w:left="720"/>
      <w:contextualSpacing/>
    </w:pPr>
  </w:style>
  <w:style w:type="character" w:styleId="Hyperlink">
    <w:name w:val="Hyperlink"/>
    <w:uiPriority w:val="99"/>
    <w:unhideWhenUsed/>
    <w:rsid w:val="0058774F"/>
    <w:rPr>
      <w:color w:val="0000FF"/>
      <w:u w:val="single"/>
    </w:rPr>
  </w:style>
  <w:style w:type="character" w:styleId="Emphasis">
    <w:name w:val="Emphasis"/>
    <w:uiPriority w:val="20"/>
    <w:qFormat/>
    <w:rsid w:val="0058774F"/>
    <w:rPr>
      <w:i/>
      <w:iCs/>
    </w:rPr>
  </w:style>
  <w:style w:type="character" w:customStyle="1" w:styleId="fontstyle01">
    <w:name w:val="fontstyle01"/>
    <w:rsid w:val="0058774F"/>
    <w:rPr>
      <w:rFonts w:ascii="Times New Roman" w:hAnsi="Times New Roman" w:cs="Times New Roman" w:hint="default"/>
      <w:b w:val="0"/>
      <w:bCs w:val="0"/>
      <w:i w:val="0"/>
      <w:iCs w:val="0"/>
      <w:color w:val="000000"/>
      <w:sz w:val="28"/>
      <w:szCs w:val="28"/>
    </w:rPr>
  </w:style>
  <w:style w:type="paragraph" w:styleId="BodyText2">
    <w:name w:val="Body Text 2"/>
    <w:basedOn w:val="Normal"/>
    <w:link w:val="BodyText2Char"/>
    <w:unhideWhenUsed/>
    <w:rsid w:val="00CA3327"/>
    <w:pPr>
      <w:spacing w:after="120" w:line="480" w:lineRule="auto"/>
    </w:pPr>
    <w:rPr>
      <w:rFonts w:ascii=".VnTime" w:hAnsi=".VnTime"/>
      <w:sz w:val="26"/>
      <w:szCs w:val="20"/>
    </w:rPr>
  </w:style>
  <w:style w:type="character" w:customStyle="1" w:styleId="BodyText2Char">
    <w:name w:val="Body Text 2 Char"/>
    <w:basedOn w:val="DefaultParagraphFont"/>
    <w:link w:val="BodyText2"/>
    <w:rsid w:val="00CA3327"/>
    <w:rPr>
      <w:rFonts w:ascii=".VnTime" w:eastAsia="Times New Roman" w:hAnsi=".VnTime"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7156D-DBFF-4290-9309-E237C81D2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1350</TotalTime>
  <Pages>5</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39</cp:revision>
  <cp:lastPrinted>2024-08-11T10:02:00Z</cp:lastPrinted>
  <dcterms:created xsi:type="dcterms:W3CDTF">2023-05-09T08:00:00Z</dcterms:created>
  <dcterms:modified xsi:type="dcterms:W3CDTF">2024-09-17T03:48:00Z</dcterms:modified>
</cp:coreProperties>
</file>