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498" w:type="dxa"/>
        <w:tblInd w:w="-176" w:type="dxa"/>
        <w:tblLayout w:type="autofit"/>
        <w:tblCellMar>
          <w:top w:w="0" w:type="dxa"/>
          <w:left w:w="108" w:type="dxa"/>
          <w:bottom w:w="0" w:type="dxa"/>
          <w:right w:w="108" w:type="dxa"/>
        </w:tblCellMar>
      </w:tblPr>
      <w:tblGrid>
        <w:gridCol w:w="3652"/>
        <w:gridCol w:w="5846"/>
      </w:tblGrid>
      <w:tr w14:paraId="6EF570AA">
        <w:tblPrEx>
          <w:tblCellMar>
            <w:top w:w="0" w:type="dxa"/>
            <w:left w:w="108" w:type="dxa"/>
            <w:bottom w:w="0" w:type="dxa"/>
            <w:right w:w="108" w:type="dxa"/>
          </w:tblCellMar>
        </w:tblPrEx>
        <w:tc>
          <w:tcPr>
            <w:tcW w:w="3652" w:type="dxa"/>
            <w:shd w:val="clear" w:color="auto" w:fill="auto"/>
          </w:tcPr>
          <w:p w14:paraId="6F7101F0">
            <w:pPr>
              <w:widowControl w:val="0"/>
              <w:jc w:val="center"/>
              <w:rPr>
                <w:b/>
                <w:sz w:val="26"/>
                <w:szCs w:val="26"/>
              </w:rPr>
            </w:pPr>
            <w:r>
              <w:rPr>
                <w:b/>
                <w:sz w:val="26"/>
                <w:szCs w:val="26"/>
              </w:rPr>
              <w:t>HỘI ĐỒNG NHÂN DÂN</w:t>
            </w:r>
          </w:p>
          <w:p w14:paraId="30B37A6E">
            <w:pPr>
              <w:widowControl w:val="0"/>
              <w:jc w:val="center"/>
              <w:rPr>
                <w:b/>
                <w:sz w:val="26"/>
                <w:szCs w:val="26"/>
              </w:rPr>
            </w:pPr>
            <w:r>
              <w:rPr>
                <w:b/>
                <w:sz w:val="26"/>
                <w:szCs w:val="26"/>
              </w:rPr>
              <w:t>TỈNH AN GIANG</w:t>
            </w:r>
          </w:p>
          <w:p w14:paraId="6D4DDDE5">
            <w:pPr>
              <w:widowControl w:val="0"/>
              <w:jc w:val="center"/>
              <w:rPr>
                <w:b/>
              </w:rPr>
            </w:pPr>
            <w:r>
              <w:rPr>
                <w:b/>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102870</wp:posOffset>
                      </wp:positionV>
                      <wp:extent cx="612140" cy="0"/>
                      <wp:effectExtent l="7620" t="7620" r="8890" b="1143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5.35pt;margin-top:8.1pt;height:0pt;width:48.2pt;z-index:251660288;mso-width-relative:page;mso-height-relative:page;" filled="f" stroked="t" coordsize="21600,21600" o:gfxdata="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cp1VNYAAAAJAQAADwAAAAAAAAAB&#10;ACAAAAAiAAAAZHJzL2Rvd25yZXYueG1sUEsBAhQAFAAAAAgAh07iQKMKcyvZAQAAwAMAAA4AAAAA&#10;AAAAAQAgAAAAJQEAAGRycy9lMm9Eb2MueG1sUEsFBgAAAAAGAAYAWQEAAHAFAAAAAA==&#10;">
                      <v:fill on="f" focussize="0,0"/>
                      <v:stroke color="#000000" joinstyle="round"/>
                      <v:imagedata o:title=""/>
                      <o:lock v:ext="edit" aspectratio="f"/>
                    </v:shape>
                  </w:pict>
                </mc:Fallback>
              </mc:AlternateContent>
            </w:r>
          </w:p>
          <w:p w14:paraId="59A80F25">
            <w:pPr>
              <w:widowControl w:val="0"/>
              <w:spacing w:before="120"/>
              <w:jc w:val="center"/>
              <w:rPr>
                <w:sz w:val="26"/>
                <w:szCs w:val="26"/>
              </w:rPr>
            </w:pPr>
            <w:r>
              <w:rPr>
                <w:sz w:val="26"/>
                <w:szCs w:val="26"/>
              </w:rPr>
              <w:t>Số:        /2024/NQ-HĐND</w:t>
            </w:r>
          </w:p>
          <w:p w14:paraId="695A41E7">
            <w:pPr>
              <w:widowControl w:val="0"/>
              <w:spacing w:before="120"/>
              <w:jc w:val="center"/>
              <w:rPr>
                <w:sz w:val="26"/>
                <w:szCs w:val="26"/>
              </w:rPr>
            </w:pPr>
          </w:p>
          <w:p w14:paraId="200E59AB">
            <w:pPr>
              <w:widowControl w:val="0"/>
              <w:spacing w:before="120"/>
              <w:jc w:val="center"/>
              <w:rPr>
                <w:b/>
                <w:sz w:val="26"/>
                <w:szCs w:val="26"/>
              </w:rPr>
            </w:pPr>
            <w:r>
              <w:rPr>
                <w:b/>
                <w:sz w:val="26"/>
                <w:szCs w:val="26"/>
              </w:rPr>
              <mc:AlternateContent>
                <mc:Choice Requires="wps">
                  <w:drawing>
                    <wp:anchor distT="0" distB="0" distL="114300" distR="114300" simplePos="0" relativeHeight="251662336" behindDoc="0" locked="0" layoutInCell="1" allowOverlap="1">
                      <wp:simplePos x="0" y="0"/>
                      <wp:positionH relativeFrom="column">
                        <wp:posOffset>601345</wp:posOffset>
                      </wp:positionH>
                      <wp:positionV relativeFrom="paragraph">
                        <wp:posOffset>4445</wp:posOffset>
                      </wp:positionV>
                      <wp:extent cx="1188720" cy="2895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1188720" cy="289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5E4A4">
                                  <w:pPr>
                                    <w:jc w:val="center"/>
                                    <w:rPr>
                                      <w:b/>
                                      <w:sz w:val="28"/>
                                    </w:rPr>
                                  </w:pPr>
                                  <w:r>
                                    <w:rPr>
                                      <w:b/>
                                      <w:sz w:val="28"/>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7.35pt;margin-top:0.35pt;height:22.8pt;width:93.6pt;z-index:251662336;v-text-anchor:middle;mso-width-relative:page;mso-height-relative:page;" fillcolor="#FFFFFF [3201]" filled="t" stroked="t" coordsize="21600,21600" o:gfxdata="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mv9sNUAAAAGAQAADwAAAAAAAAABACAAAAAiAAAAZHJzL2Rvd25yZXYueG1sUEsB&#10;AhQAFAAAAAgAh07iQAiLX0xqAgAAAgUAAA4AAAAAAAAAAQAgAAAAJAEAAGRycy9lMm9Eb2MueG1s&#10;UEsFBgAAAAAGAAYAWQEAAAAGAAAAAA==&#10;">
                      <v:fill on="t" focussize="0,0"/>
                      <v:stroke weight="1pt" color="#000000 [3213]" miterlimit="8" joinstyle="miter"/>
                      <v:imagedata o:title=""/>
                      <o:lock v:ext="edit" aspectratio="f"/>
                      <v:textbox>
                        <w:txbxContent>
                          <w:p w14:paraId="7715E4A4">
                            <w:pPr>
                              <w:jc w:val="center"/>
                              <w:rPr>
                                <w:b/>
                                <w:sz w:val="28"/>
                              </w:rPr>
                            </w:pPr>
                            <w:r>
                              <w:rPr>
                                <w:b/>
                                <w:sz w:val="28"/>
                              </w:rPr>
                              <w:t>DỰ THẢO</w:t>
                            </w:r>
                          </w:p>
                        </w:txbxContent>
                      </v:textbox>
                    </v:rect>
                  </w:pict>
                </mc:Fallback>
              </mc:AlternateContent>
            </w:r>
          </w:p>
        </w:tc>
        <w:tc>
          <w:tcPr>
            <w:tcW w:w="5846" w:type="dxa"/>
            <w:shd w:val="clear" w:color="auto" w:fill="auto"/>
          </w:tcPr>
          <w:p w14:paraId="525E742A">
            <w:pPr>
              <w:widowControl w:val="0"/>
              <w:jc w:val="center"/>
              <w:rPr>
                <w:b/>
                <w:sz w:val="26"/>
                <w:szCs w:val="26"/>
              </w:rPr>
            </w:pPr>
            <w:r>
              <w:rPr>
                <w:b/>
                <w:sz w:val="26"/>
                <w:szCs w:val="26"/>
              </w:rPr>
              <w:t>CỘNG HÒA XÃ HỘI CHỦ NGHĨA VIỆT NAM</w:t>
            </w:r>
          </w:p>
          <w:p w14:paraId="4697604F">
            <w:pPr>
              <w:widowControl w:val="0"/>
              <w:jc w:val="center"/>
              <w:rPr>
                <w:b/>
                <w:sz w:val="28"/>
                <w:szCs w:val="28"/>
              </w:rPr>
            </w:pPr>
            <w:r>
              <w:rPr>
                <w:b/>
                <w:sz w:val="28"/>
                <w:szCs w:val="28"/>
              </w:rPr>
              <w:t>Độc lập - Tự do - Hạnh phúc</w:t>
            </w:r>
          </w:p>
          <w:p w14:paraId="269471E6">
            <w:pPr>
              <w:widowControl w:val="0"/>
              <w:jc w:val="center"/>
              <w:rPr>
                <w:b/>
              </w:rPr>
            </w:pPr>
            <w:r>
              <w:rPr>
                <w:b/>
                <w:sz w:val="27"/>
                <w:szCs w:val="27"/>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121920</wp:posOffset>
                      </wp:positionV>
                      <wp:extent cx="2160270" cy="0"/>
                      <wp:effectExtent l="7620" t="7620" r="13335" b="1143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5.35pt;margin-top:9.6pt;height:0pt;width:170.1pt;z-index:251661312;mso-width-relative:page;mso-height-relative:page;" filled="f" stroked="t" coordsize="21600,21600" o:gfxdata="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areu9YAAAAJAQAADwAAAAAAAAAB&#10;ACAAAAAiAAAAZHJzL2Rvd25yZXYueG1sUEsBAhQAFAAAAAgAh07iQD9dJlXZAQAAwQMAAA4AAAAA&#10;AAAAAQAgAAAAJQEAAGRycy9lMm9Eb2MueG1sUEsFBgAAAAAGAAYAWQEAAHAFAAAAAA==&#10;">
                      <v:fill on="f" focussize="0,0"/>
                      <v:stroke color="#000000" joinstyle="round"/>
                      <v:imagedata o:title=""/>
                      <o:lock v:ext="edit" aspectratio="f"/>
                    </v:shape>
                  </w:pict>
                </mc:Fallback>
              </mc:AlternateContent>
            </w:r>
          </w:p>
          <w:p w14:paraId="19AB566C">
            <w:pPr>
              <w:widowControl w:val="0"/>
              <w:spacing w:before="120"/>
              <w:jc w:val="center"/>
              <w:rPr>
                <w:i/>
                <w:sz w:val="26"/>
                <w:szCs w:val="26"/>
              </w:rPr>
            </w:pPr>
            <w:r>
              <w:rPr>
                <w:i/>
                <w:sz w:val="26"/>
                <w:szCs w:val="26"/>
              </w:rPr>
              <w:t>An Giang, ngày     tháng     năm 2024</w:t>
            </w:r>
          </w:p>
        </w:tc>
      </w:tr>
    </w:tbl>
    <w:p w14:paraId="2D8CE95D">
      <w:pPr>
        <w:jc w:val="center"/>
        <w:rPr>
          <w:b/>
          <w:sz w:val="28"/>
          <w:szCs w:val="28"/>
        </w:rPr>
      </w:pPr>
    </w:p>
    <w:p w14:paraId="3DD4669F">
      <w:pPr>
        <w:jc w:val="center"/>
        <w:rPr>
          <w:b/>
          <w:sz w:val="28"/>
          <w:szCs w:val="28"/>
        </w:rPr>
      </w:pPr>
      <w:r>
        <w:rPr>
          <w:b/>
          <w:sz w:val="28"/>
          <w:szCs w:val="28"/>
        </w:rPr>
        <w:t>NGHỊ QUYẾT</w:t>
      </w:r>
    </w:p>
    <w:p w14:paraId="18310DF3">
      <w:pPr>
        <w:jc w:val="center"/>
        <w:rPr>
          <w:b/>
          <w:sz w:val="28"/>
          <w:szCs w:val="28"/>
        </w:rPr>
      </w:pPr>
      <w:r>
        <w:rPr>
          <w:b/>
          <w:sz w:val="28"/>
          <w:szCs w:val="28"/>
        </w:rPr>
        <w:t>Sửa đổi một số nội dung của Nghị quyết số 17/2020/NQ-HĐND</w:t>
      </w:r>
      <w:r>
        <w:rPr>
          <w:rFonts w:hint="default"/>
          <w:b/>
          <w:sz w:val="28"/>
          <w:szCs w:val="28"/>
          <w:lang w:val="en-US"/>
        </w:rPr>
        <w:t xml:space="preserve"> </w:t>
      </w:r>
      <w:r>
        <w:rPr>
          <w:rFonts w:ascii="Times New Roman" w:hAnsi="Times New Roman" w:cs="Times New Roman"/>
          <w:b/>
          <w:color w:val="auto"/>
          <w:sz w:val="28"/>
          <w:szCs w:val="28"/>
        </w:rPr>
        <w:t>ngày 08/12/2020</w:t>
      </w:r>
      <w:r>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rPr>
        <w:t>của Hội đồng nhân dân tỉnh</w:t>
      </w:r>
      <w:r>
        <w:rPr>
          <w:rFonts w:hint="default" w:cs="Times New Roman"/>
          <w:b/>
          <w:color w:val="auto"/>
          <w:sz w:val="28"/>
          <w:szCs w:val="28"/>
          <w:lang w:val="en-US"/>
        </w:rPr>
        <w:t xml:space="preserve"> </w:t>
      </w:r>
      <w:r>
        <w:rPr>
          <w:rFonts w:hint="default"/>
          <w:b/>
          <w:sz w:val="28"/>
          <w:szCs w:val="28"/>
          <w:lang w:val="en-US"/>
        </w:rPr>
        <w:t>Q</w:t>
      </w:r>
      <w:r>
        <w:rPr>
          <w:b/>
          <w:sz w:val="28"/>
          <w:szCs w:val="28"/>
        </w:rPr>
        <w:t>uy định</w:t>
      </w:r>
      <w:r>
        <w:rPr>
          <w:sz w:val="28"/>
          <w:szCs w:val="28"/>
        </w:rPr>
        <w:t xml:space="preserve"> </w:t>
      </w:r>
      <w:r>
        <w:rPr>
          <w:b/>
          <w:sz w:val="28"/>
          <w:szCs w:val="28"/>
        </w:rPr>
        <w:t>chính sách hỗ trợ</w:t>
      </w:r>
    </w:p>
    <w:p w14:paraId="050853CA">
      <w:pPr>
        <w:jc w:val="center"/>
        <w:rPr>
          <w:b/>
          <w:sz w:val="28"/>
          <w:szCs w:val="28"/>
        </w:rPr>
      </w:pPr>
      <w:r>
        <w:rPr>
          <w:b/>
          <w:sz w:val="28"/>
          <w:szCs w:val="28"/>
        </w:rPr>
        <w:t>người lao động đi làm việc ở nước ngoài</w:t>
      </w:r>
      <w:r>
        <w:rPr>
          <w:rFonts w:hint="default"/>
          <w:b/>
          <w:sz w:val="28"/>
          <w:szCs w:val="28"/>
          <w:lang w:val="en-US"/>
        </w:rPr>
        <w:t xml:space="preserve"> </w:t>
      </w:r>
      <w:r>
        <w:rPr>
          <w:b/>
          <w:sz w:val="28"/>
          <w:szCs w:val="28"/>
        </w:rPr>
        <w:t>theo hợp đồng giai đoạn</w:t>
      </w:r>
    </w:p>
    <w:p w14:paraId="67FBA307">
      <w:pPr>
        <w:jc w:val="center"/>
        <w:rPr>
          <w:b/>
          <w:sz w:val="28"/>
          <w:szCs w:val="28"/>
        </w:rPr>
      </w:pPr>
      <w:r>
        <w:rPr>
          <w:b/>
          <w:sz w:val="28"/>
          <w:szCs w:val="28"/>
        </w:rPr>
        <w:t>2021 - 2025 trên địa bàn tỉnh An Giang</w:t>
      </w:r>
    </w:p>
    <w:p w14:paraId="06D1A0A6">
      <w:pPr>
        <w:jc w:val="center"/>
        <w:rPr>
          <w:b/>
          <w:sz w:val="28"/>
          <w:szCs w:val="28"/>
        </w:rPr>
      </w:pPr>
      <w:r>
        <w:rPr>
          <w:rFonts w:ascii="Calibri" w:hAnsi="Calibri"/>
          <w:sz w:val="22"/>
          <w:szCs w:val="22"/>
        </w:rPr>
        <mc:AlternateContent>
          <mc:Choice Requires="wps">
            <w:drawing>
              <wp:anchor distT="0" distB="0" distL="114300" distR="114300" simplePos="0" relativeHeight="251659264" behindDoc="0" locked="0" layoutInCell="1" allowOverlap="1">
                <wp:simplePos x="0" y="0"/>
                <wp:positionH relativeFrom="margin">
                  <wp:posOffset>2002790</wp:posOffset>
                </wp:positionH>
                <wp:positionV relativeFrom="paragraph">
                  <wp:posOffset>165100</wp:posOffset>
                </wp:positionV>
                <wp:extent cx="1803400" cy="0"/>
                <wp:effectExtent l="0" t="0" r="25400" b="1905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7.7pt;margin-top:13pt;height:0pt;width:142pt;mso-position-horizontal-relative:margin;z-index:251659264;mso-width-relative:page;mso-height-relative:page;" filled="f" stroked="t" coordsize="21600,21600" o:gfxdata="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YLYf1gAAAAkBAAAPAAAAAAAAAAEAIAAAACIA&#10;AABkcnMvZG93bnJldi54bWxQSwECFAAUAAAACACHTuJAyjPbm9IBAACtAwAADgAAAAAAAAABACAA&#10;AAAlAQAAZHJzL2Uyb0RvYy54bWxQSwUGAAAAAAYABgBZAQAAaQUAAAAA&#10;">
                <v:fill on="f" focussize="0,0"/>
                <v:stroke color="#000000" joinstyle="round"/>
                <v:imagedata o:title=""/>
                <o:lock v:ext="edit" aspectratio="f"/>
              </v:line>
            </w:pict>
          </mc:Fallback>
        </mc:AlternateContent>
      </w:r>
    </w:p>
    <w:p w14:paraId="50793FF5">
      <w:pPr>
        <w:jc w:val="center"/>
        <w:rPr>
          <w:b/>
          <w:sz w:val="28"/>
          <w:szCs w:val="28"/>
        </w:rPr>
      </w:pPr>
    </w:p>
    <w:p w14:paraId="424306A4">
      <w:pPr>
        <w:jc w:val="center"/>
        <w:rPr>
          <w:b/>
          <w:sz w:val="28"/>
          <w:szCs w:val="28"/>
        </w:rPr>
      </w:pPr>
      <w:r>
        <w:rPr>
          <w:b/>
          <w:sz w:val="28"/>
          <w:szCs w:val="28"/>
        </w:rPr>
        <w:t>HỘI ĐỒNG NHÂN DÂN TỈNH AN GIANG</w:t>
      </w:r>
    </w:p>
    <w:p w14:paraId="75DF93B4">
      <w:pPr>
        <w:jc w:val="center"/>
        <w:rPr>
          <w:b/>
          <w:sz w:val="28"/>
          <w:szCs w:val="28"/>
        </w:rPr>
      </w:pPr>
      <w:r>
        <w:rPr>
          <w:b/>
          <w:sz w:val="28"/>
          <w:szCs w:val="28"/>
        </w:rPr>
        <w:t>KHÓA X, KỲ HỌP ….</w:t>
      </w:r>
    </w:p>
    <w:p w14:paraId="300A861C">
      <w:pPr>
        <w:jc w:val="center"/>
        <w:rPr>
          <w:b/>
          <w:sz w:val="28"/>
          <w:szCs w:val="28"/>
        </w:rPr>
      </w:pPr>
    </w:p>
    <w:p w14:paraId="69EBD9CC">
      <w:pPr>
        <w:spacing w:before="120" w:after="120"/>
        <w:ind w:firstLine="720"/>
        <w:jc w:val="both"/>
        <w:rPr>
          <w:i/>
          <w:sz w:val="28"/>
          <w:szCs w:val="28"/>
        </w:rPr>
      </w:pPr>
      <w:r>
        <w:rPr>
          <w:i/>
          <w:sz w:val="28"/>
          <w:szCs w:val="28"/>
          <w:lang w:val="vi-VN"/>
        </w:rPr>
        <w:t>C</w:t>
      </w:r>
      <w:r>
        <w:rPr>
          <w:rFonts w:hint="eastAsia"/>
          <w:i/>
          <w:sz w:val="28"/>
          <w:szCs w:val="28"/>
          <w:lang w:val="vi-VN"/>
        </w:rPr>
        <w:t>ă</w:t>
      </w:r>
      <w:r>
        <w:rPr>
          <w:i/>
          <w:sz w:val="28"/>
          <w:szCs w:val="28"/>
          <w:lang w:val="vi-VN"/>
        </w:rPr>
        <w:t xml:space="preserve">n cứ Luật Tổ chức </w:t>
      </w:r>
      <w:r>
        <w:rPr>
          <w:i/>
          <w:sz w:val="28"/>
          <w:szCs w:val="28"/>
        </w:rPr>
        <w:t>chính quyền địa phương</w:t>
      </w:r>
      <w:r>
        <w:rPr>
          <w:i/>
          <w:sz w:val="28"/>
          <w:szCs w:val="28"/>
          <w:lang w:val="vi-VN"/>
        </w:rPr>
        <w:t xml:space="preserve"> ngày </w:t>
      </w:r>
      <w:r>
        <w:rPr>
          <w:i/>
          <w:sz w:val="28"/>
          <w:szCs w:val="28"/>
        </w:rPr>
        <w:t>19</w:t>
      </w:r>
      <w:r>
        <w:rPr>
          <w:i/>
          <w:sz w:val="28"/>
          <w:szCs w:val="28"/>
          <w:lang w:val="vi-VN"/>
        </w:rPr>
        <w:t xml:space="preserve"> tháng </w:t>
      </w:r>
      <w:r>
        <w:rPr>
          <w:i/>
          <w:sz w:val="28"/>
          <w:szCs w:val="28"/>
        </w:rPr>
        <w:t>6</w:t>
      </w:r>
      <w:r>
        <w:rPr>
          <w:i/>
          <w:sz w:val="28"/>
          <w:szCs w:val="28"/>
          <w:lang w:val="vi-VN"/>
        </w:rPr>
        <w:t xml:space="preserve"> năm 20</w:t>
      </w:r>
      <w:r>
        <w:rPr>
          <w:i/>
          <w:sz w:val="28"/>
          <w:szCs w:val="28"/>
        </w:rPr>
        <w:t>15</w:t>
      </w:r>
      <w:r>
        <w:rPr>
          <w:i/>
          <w:sz w:val="28"/>
          <w:szCs w:val="28"/>
          <w:lang w:val="vi-VN"/>
        </w:rPr>
        <w:t>;</w:t>
      </w:r>
      <w:r>
        <w:rPr>
          <w:i/>
          <w:sz w:val="28"/>
          <w:szCs w:val="28"/>
        </w:rPr>
        <w:t xml:space="preserve"> Luật sửa đổi, bổ sung một số điều của Luật Tổ chức Chính phủ và Luật Tổ chức chính quyền địa phương ngày 22 tháng 11 năm 2019;</w:t>
      </w:r>
    </w:p>
    <w:p w14:paraId="1BAE55E2">
      <w:pPr>
        <w:spacing w:before="120" w:after="120"/>
        <w:ind w:firstLine="720"/>
        <w:jc w:val="both"/>
        <w:rPr>
          <w:i/>
          <w:sz w:val="28"/>
          <w:szCs w:val="28"/>
        </w:rPr>
      </w:pPr>
      <w:r>
        <w:rPr>
          <w:i/>
          <w:sz w:val="28"/>
          <w:szCs w:val="28"/>
        </w:rPr>
        <w:t>Căn cứ Luật Ban hành văn bản quy phạm pháp luật ngày 22 tháng 6 năm 2015; Luật sửa đổi, bổ sung một số điều của Lu</w:t>
      </w:r>
      <w:bookmarkStart w:id="0" w:name="_GoBack"/>
      <w:bookmarkEnd w:id="0"/>
      <w:r>
        <w:rPr>
          <w:i/>
          <w:sz w:val="28"/>
          <w:szCs w:val="28"/>
        </w:rPr>
        <w:t>ật Ban hành văn bản quy phạm pháp luật ngày 18 tháng 6 năm 2020;</w:t>
      </w:r>
    </w:p>
    <w:p w14:paraId="1B79F0CD">
      <w:pPr>
        <w:spacing w:before="120" w:after="120"/>
        <w:ind w:firstLine="720"/>
        <w:jc w:val="both"/>
        <w:rPr>
          <w:i/>
          <w:sz w:val="28"/>
          <w:szCs w:val="28"/>
        </w:rPr>
      </w:pPr>
      <w:r>
        <w:rPr>
          <w:i/>
          <w:sz w:val="28"/>
          <w:szCs w:val="28"/>
        </w:rPr>
        <w:t>Căn cứ Luật Ngân sách nhà nước ngày 25 tháng 6 năm 2015;</w:t>
      </w:r>
    </w:p>
    <w:p w14:paraId="65117885">
      <w:pPr>
        <w:spacing w:before="120" w:after="120"/>
        <w:ind w:firstLine="720"/>
        <w:jc w:val="both"/>
        <w:rPr>
          <w:i/>
          <w:sz w:val="28"/>
          <w:szCs w:val="28"/>
        </w:rPr>
      </w:pPr>
      <w:r>
        <w:rPr>
          <w:i/>
          <w:sz w:val="28"/>
          <w:szCs w:val="28"/>
        </w:rPr>
        <w:t>Căn cứ Luật Người lao động Việt Nam đi làm việc ở nước ngoài theo hợp đồng ngày 13 tháng 11 năm 2020;</w:t>
      </w:r>
    </w:p>
    <w:p w14:paraId="1A3687C1">
      <w:pPr>
        <w:spacing w:before="120" w:after="120"/>
        <w:ind w:firstLine="720"/>
        <w:jc w:val="both"/>
        <w:rPr>
          <w:i/>
          <w:sz w:val="28"/>
          <w:szCs w:val="28"/>
        </w:rPr>
      </w:pPr>
      <w:r>
        <w:rPr>
          <w:i/>
          <w:sz w:val="28"/>
          <w:szCs w:val="28"/>
          <w:lang w:val="vi-VN"/>
        </w:rPr>
        <w:t>Căn cứ Nghị định số 61/2015/NĐ-CP ngày 09 tháng 7 năm 2015 của Chính phủ Quy định về chính sách hỗ trợ tạo việc làm và Quỹ quốc gia về việc làm;</w:t>
      </w:r>
    </w:p>
    <w:p w14:paraId="4F138978">
      <w:pPr>
        <w:spacing w:before="120" w:after="120"/>
        <w:ind w:firstLine="720"/>
        <w:jc w:val="both"/>
        <w:rPr>
          <w:i/>
          <w:sz w:val="28"/>
          <w:szCs w:val="28"/>
          <w:lang w:val="vi-VN"/>
        </w:rPr>
      </w:pPr>
      <w:r>
        <w:rPr>
          <w:i/>
          <w:sz w:val="28"/>
          <w:szCs w:val="28"/>
          <w:lang w:val="vi-VN"/>
        </w:rPr>
        <w:t>Căn cứ Nghị định số 74/2019/NĐ-CP ngày 23</w:t>
      </w:r>
      <w:r>
        <w:rPr>
          <w:i/>
          <w:sz w:val="28"/>
          <w:szCs w:val="28"/>
        </w:rPr>
        <w:t xml:space="preserve"> tháng </w:t>
      </w:r>
      <w:r>
        <w:rPr>
          <w:i/>
          <w:sz w:val="28"/>
          <w:szCs w:val="28"/>
          <w:lang w:val="vi-VN"/>
        </w:rPr>
        <w:t>9</w:t>
      </w:r>
      <w:r>
        <w:rPr>
          <w:i/>
          <w:sz w:val="28"/>
          <w:szCs w:val="28"/>
        </w:rPr>
        <w:t xml:space="preserve"> năm </w:t>
      </w:r>
      <w:r>
        <w:rPr>
          <w:i/>
          <w:sz w:val="28"/>
          <w:szCs w:val="28"/>
          <w:lang w:val="vi-VN"/>
        </w:rPr>
        <w:t xml:space="preserve">2019 </w:t>
      </w:r>
      <w:r>
        <w:rPr>
          <w:i/>
          <w:sz w:val="28"/>
          <w:szCs w:val="28"/>
        </w:rPr>
        <w:t xml:space="preserve">của Chính phủ </w:t>
      </w:r>
      <w:r>
        <w:rPr>
          <w:i/>
          <w:sz w:val="28"/>
          <w:szCs w:val="28"/>
          <w:lang w:val="vi-VN"/>
        </w:rPr>
        <w:t>Sửa đổi, bổ sung một số điều của Nghị định số 61/2015/NĐ-CP ngày 09</w:t>
      </w:r>
      <w:r>
        <w:rPr>
          <w:i/>
          <w:sz w:val="28"/>
          <w:szCs w:val="28"/>
        </w:rPr>
        <w:t xml:space="preserve"> tháng </w:t>
      </w:r>
      <w:r>
        <w:rPr>
          <w:i/>
          <w:sz w:val="28"/>
          <w:szCs w:val="28"/>
          <w:lang w:val="vi-VN"/>
        </w:rPr>
        <w:t>7</w:t>
      </w:r>
      <w:r>
        <w:rPr>
          <w:i/>
          <w:sz w:val="28"/>
          <w:szCs w:val="28"/>
        </w:rPr>
        <w:t xml:space="preserve"> năm </w:t>
      </w:r>
      <w:r>
        <w:rPr>
          <w:i/>
          <w:sz w:val="28"/>
          <w:szCs w:val="28"/>
          <w:lang w:val="vi-VN"/>
        </w:rPr>
        <w:t>2015 của Chính phủ quy định về chính sách hỗ trợ tạo việc làm và Quỹ quốc gia về việc làm;</w:t>
      </w:r>
    </w:p>
    <w:p w14:paraId="2E963FD6">
      <w:pPr>
        <w:spacing w:before="120" w:after="120"/>
        <w:ind w:firstLine="720"/>
        <w:jc w:val="both"/>
        <w:rPr>
          <w:i/>
          <w:sz w:val="28"/>
          <w:szCs w:val="28"/>
        </w:rPr>
      </w:pPr>
      <w:r>
        <w:rPr>
          <w:i/>
          <w:sz w:val="28"/>
          <w:szCs w:val="28"/>
        </w:rPr>
        <w:t>Căn cứ Nghị định số 112/2021/NĐ-CP ngày 10 tháng 12 năm 2021 của Chính phủ Quy định chi tiết một số điều và biện pháp thi hành Luật Người lao động Việt Nam đi làm việc ở nước ngoài theo hợp đồng</w:t>
      </w:r>
      <w:r>
        <w:rPr>
          <w:i/>
          <w:sz w:val="28"/>
          <w:szCs w:val="28"/>
          <w:lang w:val="vi-VN"/>
        </w:rPr>
        <w:t>;</w:t>
      </w:r>
    </w:p>
    <w:p w14:paraId="2F85699E">
      <w:pPr>
        <w:spacing w:before="120" w:after="120"/>
        <w:ind w:firstLine="720"/>
        <w:jc w:val="both"/>
        <w:rPr>
          <w:i/>
          <w:sz w:val="28"/>
          <w:szCs w:val="28"/>
        </w:rPr>
      </w:pPr>
      <w:r>
        <w:rPr>
          <w:i/>
          <w:sz w:val="28"/>
          <w:szCs w:val="28"/>
          <w:lang w:val="vi-VN"/>
        </w:rPr>
        <w:t>Căn cứ Thông tư liên tịch số 09/2016/TTLT-BLĐTBXH-BTC ngày 15</w:t>
      </w:r>
      <w:r>
        <w:rPr>
          <w:i/>
          <w:sz w:val="28"/>
          <w:szCs w:val="28"/>
        </w:rPr>
        <w:t xml:space="preserve"> tháng </w:t>
      </w:r>
      <w:r>
        <w:rPr>
          <w:i/>
          <w:sz w:val="28"/>
          <w:szCs w:val="28"/>
          <w:lang w:val="vi-VN"/>
        </w:rPr>
        <w:t>6</w:t>
      </w:r>
      <w:r>
        <w:rPr>
          <w:i/>
          <w:sz w:val="28"/>
          <w:szCs w:val="28"/>
        </w:rPr>
        <w:t xml:space="preserve"> năm </w:t>
      </w:r>
      <w:r>
        <w:rPr>
          <w:i/>
          <w:sz w:val="28"/>
          <w:szCs w:val="28"/>
          <w:lang w:val="vi-VN"/>
        </w:rPr>
        <w:t xml:space="preserve">2016 </w:t>
      </w:r>
      <w:r>
        <w:rPr>
          <w:i/>
          <w:sz w:val="28"/>
          <w:szCs w:val="28"/>
        </w:rPr>
        <w:t xml:space="preserve">của </w:t>
      </w:r>
      <w:r>
        <w:rPr>
          <w:i/>
          <w:sz w:val="28"/>
          <w:szCs w:val="28"/>
          <w:lang w:val="vi-VN"/>
        </w:rPr>
        <w:t>Bộ Lao động - Thương binh và Xã hội</w:t>
      </w:r>
      <w:r>
        <w:rPr>
          <w:i/>
          <w:sz w:val="28"/>
          <w:szCs w:val="28"/>
        </w:rPr>
        <w:t xml:space="preserve"> và</w:t>
      </w:r>
      <w:r>
        <w:rPr>
          <w:i/>
          <w:sz w:val="28"/>
          <w:szCs w:val="28"/>
          <w:lang w:val="vi-VN"/>
        </w:rPr>
        <w:t xml:space="preserve"> Bộ Tài chính hướng dẫn thực hiện một số điều về hỗ trợ đưa người lao động đi làm việc ở nước ngoài theo hợp đồng quy định tại Nghị định số 61/2015/NĐ-CP ngày 09</w:t>
      </w:r>
      <w:r>
        <w:rPr>
          <w:i/>
          <w:sz w:val="28"/>
          <w:szCs w:val="28"/>
        </w:rPr>
        <w:t xml:space="preserve"> tháng </w:t>
      </w:r>
      <w:r>
        <w:rPr>
          <w:i/>
          <w:sz w:val="28"/>
          <w:szCs w:val="28"/>
          <w:lang w:val="vi-VN"/>
        </w:rPr>
        <w:t>7</w:t>
      </w:r>
      <w:r>
        <w:rPr>
          <w:i/>
          <w:sz w:val="28"/>
          <w:szCs w:val="28"/>
        </w:rPr>
        <w:t xml:space="preserve"> năm </w:t>
      </w:r>
      <w:r>
        <w:rPr>
          <w:i/>
          <w:sz w:val="28"/>
          <w:szCs w:val="28"/>
          <w:lang w:val="vi-VN"/>
        </w:rPr>
        <w:t>2015 của Chính phủ quy định về chính sách hỗ trợ tạo việc làm và Quỹ quốc gia về việc làm</w:t>
      </w:r>
      <w:r>
        <w:rPr>
          <w:i/>
          <w:sz w:val="28"/>
          <w:szCs w:val="28"/>
        </w:rPr>
        <w:t>;</w:t>
      </w:r>
    </w:p>
    <w:p w14:paraId="328E1055">
      <w:pPr>
        <w:spacing w:before="120" w:after="120"/>
        <w:ind w:firstLine="720"/>
        <w:jc w:val="both"/>
        <w:rPr>
          <w:i/>
          <w:sz w:val="28"/>
          <w:szCs w:val="28"/>
        </w:rPr>
      </w:pPr>
      <w:r>
        <w:rPr>
          <w:i/>
          <w:sz w:val="28"/>
          <w:szCs w:val="28"/>
        </w:rPr>
        <w:t>Căn cứ Thông tư số 11/2017/TT-BTC ngày 08 tháng 02 năm 2017 của Bộ trưởng Bộ Tài chính quy định về quản lý và sử dụng nguồn vốn ngân sách địa phương ủy thác qua Ngân hàng Chính sách xã hội để cho vay đối với người nghèo và các đối tượng chính sách khác;</w:t>
      </w:r>
    </w:p>
    <w:p w14:paraId="1DE579FE">
      <w:pPr>
        <w:spacing w:before="120" w:after="120"/>
        <w:ind w:firstLine="720"/>
        <w:jc w:val="both"/>
        <w:rPr>
          <w:i/>
          <w:sz w:val="28"/>
          <w:szCs w:val="28"/>
          <w:lang w:val="vi-VN"/>
        </w:rPr>
      </w:pPr>
      <w:r>
        <w:rPr>
          <w:i/>
          <w:sz w:val="28"/>
          <w:szCs w:val="28"/>
          <w:lang w:val="vi-VN"/>
        </w:rPr>
        <w:t xml:space="preserve">Căn cứ Thông tư số </w:t>
      </w:r>
      <w:r>
        <w:rPr>
          <w:i/>
          <w:sz w:val="28"/>
          <w:szCs w:val="28"/>
        </w:rPr>
        <w:t>21/2021</w:t>
      </w:r>
      <w:r>
        <w:rPr>
          <w:i/>
          <w:sz w:val="28"/>
          <w:szCs w:val="28"/>
          <w:lang w:val="vi-VN"/>
        </w:rPr>
        <w:t>/TTLT-BLĐTBXH ngày 15</w:t>
      </w:r>
      <w:r>
        <w:rPr>
          <w:i/>
          <w:sz w:val="28"/>
          <w:szCs w:val="28"/>
        </w:rPr>
        <w:t xml:space="preserve"> tháng 12 năm </w:t>
      </w:r>
      <w:r>
        <w:rPr>
          <w:i/>
          <w:sz w:val="28"/>
          <w:szCs w:val="28"/>
          <w:lang w:val="vi-VN"/>
        </w:rPr>
        <w:t>20</w:t>
      </w:r>
      <w:r>
        <w:rPr>
          <w:i/>
          <w:sz w:val="28"/>
          <w:szCs w:val="28"/>
        </w:rPr>
        <w:t>21</w:t>
      </w:r>
      <w:r>
        <w:rPr>
          <w:i/>
          <w:sz w:val="28"/>
          <w:szCs w:val="28"/>
          <w:lang w:val="vi-VN"/>
        </w:rPr>
        <w:t xml:space="preserve"> </w:t>
      </w:r>
      <w:r>
        <w:rPr>
          <w:i/>
          <w:sz w:val="28"/>
          <w:szCs w:val="28"/>
        </w:rPr>
        <w:t xml:space="preserve">của </w:t>
      </w:r>
      <w:r>
        <w:rPr>
          <w:i/>
          <w:sz w:val="28"/>
          <w:szCs w:val="28"/>
          <w:lang w:val="vi-VN"/>
        </w:rPr>
        <w:t>Bộ Lao động - Thương binh và Xã hội</w:t>
      </w:r>
      <w:r>
        <w:rPr>
          <w:i/>
          <w:sz w:val="28"/>
          <w:szCs w:val="28"/>
        </w:rPr>
        <w:t xml:space="preserve"> </w:t>
      </w:r>
      <w:r>
        <w:rPr>
          <w:i/>
          <w:sz w:val="28"/>
          <w:szCs w:val="28"/>
          <w:lang w:val="vi-VN"/>
        </w:rPr>
        <w:t>Quy định chi tiết</w:t>
      </w:r>
      <w:r>
        <w:rPr>
          <w:i/>
          <w:sz w:val="28"/>
          <w:szCs w:val="28"/>
        </w:rPr>
        <w:t xml:space="preserve"> một số điều của</w:t>
      </w:r>
      <w:r>
        <w:rPr>
          <w:i/>
          <w:sz w:val="28"/>
          <w:szCs w:val="28"/>
          <w:lang w:val="vi-VN"/>
        </w:rPr>
        <w:t xml:space="preserve"> Luật Người lao động Việt Nam đi làm việc ở nước ngoài theo hợp đồng</w:t>
      </w:r>
      <w:r>
        <w:rPr>
          <w:i/>
          <w:sz w:val="28"/>
          <w:szCs w:val="28"/>
        </w:rPr>
        <w:t>;</w:t>
      </w:r>
    </w:p>
    <w:p w14:paraId="2A2E33DD">
      <w:pPr>
        <w:spacing w:before="120" w:after="120" w:line="252" w:lineRule="auto"/>
        <w:ind w:firstLine="720"/>
        <w:jc w:val="both"/>
        <w:rPr>
          <w:i/>
          <w:sz w:val="28"/>
          <w:szCs w:val="28"/>
        </w:rPr>
      </w:pPr>
      <w:r>
        <w:rPr>
          <w:i/>
          <w:sz w:val="28"/>
          <w:szCs w:val="28"/>
          <w:lang w:val="vi-VN"/>
        </w:rPr>
        <w:t>Xét Tờ trình số</w:t>
      </w:r>
      <w:r>
        <w:rPr>
          <w:i/>
          <w:sz w:val="28"/>
          <w:szCs w:val="28"/>
        </w:rPr>
        <w:t xml:space="preserve">     </w:t>
      </w:r>
      <w:r>
        <w:rPr>
          <w:i/>
          <w:sz w:val="28"/>
          <w:szCs w:val="28"/>
          <w:lang w:val="vi-VN"/>
        </w:rPr>
        <w:t>/TTr-UBND ngày</w:t>
      </w:r>
      <w:r>
        <w:rPr>
          <w:i/>
          <w:sz w:val="28"/>
          <w:szCs w:val="28"/>
        </w:rPr>
        <w:t xml:space="preserve">     </w:t>
      </w:r>
      <w:r>
        <w:rPr>
          <w:i/>
          <w:sz w:val="28"/>
          <w:szCs w:val="28"/>
          <w:lang w:val="vi-VN"/>
        </w:rPr>
        <w:t>tháng</w:t>
      </w:r>
      <w:r>
        <w:rPr>
          <w:i/>
          <w:sz w:val="28"/>
          <w:szCs w:val="28"/>
        </w:rPr>
        <w:t xml:space="preserve">      </w:t>
      </w:r>
      <w:r>
        <w:rPr>
          <w:i/>
          <w:sz w:val="28"/>
          <w:szCs w:val="28"/>
          <w:lang w:val="vi-VN"/>
        </w:rPr>
        <w:t>năm 20</w:t>
      </w:r>
      <w:r>
        <w:rPr>
          <w:i/>
          <w:sz w:val="28"/>
          <w:szCs w:val="28"/>
        </w:rPr>
        <w:t>24</w:t>
      </w:r>
      <w:r>
        <w:rPr>
          <w:i/>
          <w:sz w:val="28"/>
          <w:szCs w:val="28"/>
          <w:lang w:val="vi-VN"/>
        </w:rPr>
        <w:t xml:space="preserve"> của Ủy ban nhân dân tỉnh </w:t>
      </w:r>
      <w:r>
        <w:rPr>
          <w:i/>
          <w:sz w:val="28"/>
          <w:szCs w:val="28"/>
        </w:rPr>
        <w:t>dự thảo Nghị quyết sửa đổi một số nội dung của Nghị quyết số 17/2020/NQ-HĐND ngày 08/12/2020 của Hội đồng nhân dân tỉnh Quy định</w:t>
      </w:r>
      <w:r>
        <w:rPr>
          <w:i/>
          <w:sz w:val="28"/>
          <w:szCs w:val="28"/>
          <w:lang w:val="vi-VN"/>
        </w:rPr>
        <w:t xml:space="preserve"> chính sách hỗ trợ người lao động đi làm việc ở nước ngoài</w:t>
      </w:r>
      <w:r>
        <w:rPr>
          <w:i/>
          <w:sz w:val="28"/>
          <w:szCs w:val="28"/>
        </w:rPr>
        <w:t xml:space="preserve"> </w:t>
      </w:r>
      <w:r>
        <w:rPr>
          <w:i/>
          <w:sz w:val="28"/>
          <w:szCs w:val="28"/>
          <w:lang w:val="vi-VN"/>
        </w:rPr>
        <w:t>theo hợp đồng giai đoạn 2021</w:t>
      </w:r>
      <w:r>
        <w:rPr>
          <w:i/>
          <w:sz w:val="28"/>
          <w:szCs w:val="28"/>
        </w:rPr>
        <w:t xml:space="preserve"> -</w:t>
      </w:r>
      <w:r>
        <w:rPr>
          <w:i/>
          <w:sz w:val="28"/>
          <w:szCs w:val="28"/>
          <w:lang w:val="vi-VN"/>
        </w:rPr>
        <w:t xml:space="preserve"> 2025 trên địa bàn tỉnh An Giang; </w:t>
      </w:r>
      <w:r>
        <w:rPr>
          <w:i/>
          <w:sz w:val="28"/>
          <w:szCs w:val="28"/>
        </w:rPr>
        <w:t>b</w:t>
      </w:r>
      <w:r>
        <w:rPr>
          <w:i/>
          <w:sz w:val="28"/>
          <w:szCs w:val="28"/>
          <w:lang w:val="vi-VN"/>
        </w:rPr>
        <w:t xml:space="preserve">áo cáo thẩm tra của Ban </w:t>
      </w:r>
      <w:r>
        <w:rPr>
          <w:i/>
          <w:sz w:val="28"/>
          <w:szCs w:val="28"/>
        </w:rPr>
        <w:t>V</w:t>
      </w:r>
      <w:r>
        <w:rPr>
          <w:i/>
          <w:sz w:val="28"/>
          <w:szCs w:val="28"/>
          <w:lang w:val="vi-VN"/>
        </w:rPr>
        <w:t xml:space="preserve">ăn hóa - </w:t>
      </w:r>
      <w:r>
        <w:rPr>
          <w:i/>
          <w:sz w:val="28"/>
          <w:szCs w:val="28"/>
        </w:rPr>
        <w:t>x</w:t>
      </w:r>
      <w:r>
        <w:rPr>
          <w:i/>
          <w:sz w:val="28"/>
          <w:szCs w:val="28"/>
          <w:lang w:val="vi-VN"/>
        </w:rPr>
        <w:t>ã hội</w:t>
      </w:r>
      <w:r>
        <w:rPr>
          <w:i/>
          <w:sz w:val="28"/>
          <w:szCs w:val="28"/>
        </w:rPr>
        <w:t xml:space="preserve">; </w:t>
      </w:r>
      <w:r>
        <w:rPr>
          <w:i/>
          <w:sz w:val="28"/>
          <w:szCs w:val="28"/>
          <w:lang w:val="vi-VN"/>
        </w:rPr>
        <w:t>ý kiến thảo luận của đại biểu Hội đồng nhân dân tỉnh tại kỳ họp.</w:t>
      </w:r>
    </w:p>
    <w:p w14:paraId="47B56B3F">
      <w:pPr>
        <w:spacing w:before="240" w:after="240"/>
        <w:jc w:val="center"/>
        <w:rPr>
          <w:b/>
          <w:spacing w:val="14"/>
          <w:sz w:val="28"/>
          <w:szCs w:val="28"/>
          <w:lang w:val="vi-VN"/>
        </w:rPr>
      </w:pPr>
      <w:r>
        <w:rPr>
          <w:b/>
          <w:spacing w:val="14"/>
          <w:sz w:val="28"/>
          <w:szCs w:val="28"/>
          <w:lang w:val="vi-VN"/>
        </w:rPr>
        <w:t>QUYẾT NGHỊ:</w:t>
      </w:r>
    </w:p>
    <w:p w14:paraId="6743D28B">
      <w:pPr>
        <w:spacing w:before="120" w:after="120" w:line="252" w:lineRule="auto"/>
        <w:ind w:firstLine="720"/>
        <w:jc w:val="both"/>
        <w:rPr>
          <w:sz w:val="28"/>
          <w:szCs w:val="28"/>
        </w:rPr>
      </w:pPr>
      <w:r>
        <w:rPr>
          <w:rFonts w:hint="eastAsia"/>
          <w:b/>
          <w:sz w:val="28"/>
          <w:szCs w:val="28"/>
        </w:rPr>
        <w:t>Đ</w:t>
      </w:r>
      <w:r>
        <w:rPr>
          <w:b/>
          <w:sz w:val="28"/>
          <w:szCs w:val="28"/>
        </w:rPr>
        <w:t>iều 1.</w:t>
      </w:r>
      <w:r>
        <w:rPr>
          <w:sz w:val="28"/>
          <w:szCs w:val="28"/>
        </w:rPr>
        <w:t xml:space="preserve"> Ban hành Nghị quyết sửa đổi một số nội dung của Nghị quyết số 17/2020/NQ-HĐND ngày 08/12/2020 của Hội đồng nhân dân tỉnh Quy định</w:t>
      </w:r>
      <w:r>
        <w:rPr>
          <w:sz w:val="28"/>
          <w:szCs w:val="28"/>
          <w:lang w:val="vi-VN"/>
        </w:rPr>
        <w:t xml:space="preserve"> chính sách hỗ trợ người lao động đi làm việc ở nước ngoài</w:t>
      </w:r>
      <w:r>
        <w:rPr>
          <w:sz w:val="28"/>
          <w:szCs w:val="28"/>
        </w:rPr>
        <w:t xml:space="preserve"> </w:t>
      </w:r>
      <w:r>
        <w:rPr>
          <w:sz w:val="28"/>
          <w:szCs w:val="28"/>
          <w:lang w:val="vi-VN"/>
        </w:rPr>
        <w:t>theo hợp đồng giai đoạn 2021</w:t>
      </w:r>
      <w:r>
        <w:rPr>
          <w:sz w:val="28"/>
          <w:szCs w:val="28"/>
        </w:rPr>
        <w:t xml:space="preserve"> -</w:t>
      </w:r>
      <w:r>
        <w:rPr>
          <w:sz w:val="28"/>
          <w:szCs w:val="28"/>
          <w:lang w:val="vi-VN"/>
        </w:rPr>
        <w:t xml:space="preserve"> 2025 trên địa bàn tỉnh An Giang</w:t>
      </w:r>
      <w:r>
        <w:rPr>
          <w:sz w:val="28"/>
          <w:szCs w:val="28"/>
        </w:rPr>
        <w:t>, như sau:</w:t>
      </w:r>
    </w:p>
    <w:p w14:paraId="4D55542C">
      <w:pPr>
        <w:pStyle w:val="35"/>
        <w:numPr>
          <w:ilvl w:val="0"/>
          <w:numId w:val="1"/>
        </w:numPr>
        <w:shd w:val="clear" w:color="auto" w:fill="auto"/>
        <w:spacing w:before="60" w:line="240" w:lineRule="auto"/>
        <w:ind w:firstLine="720"/>
        <w:jc w:val="both"/>
        <w:rPr>
          <w:color w:val="auto"/>
        </w:rPr>
      </w:pPr>
      <w:r>
        <w:rPr>
          <w:rFonts w:hint="default"/>
          <w:color w:val="auto"/>
          <w:lang w:val="en-US"/>
        </w:rPr>
        <w:t>S</w:t>
      </w:r>
      <w:r>
        <w:rPr>
          <w:color w:val="auto"/>
        </w:rPr>
        <w:t>ửa đổi điểm a khoản 2 Điều 1 Nghị quyết số 17/2020/NQ-HĐND:</w:t>
      </w:r>
    </w:p>
    <w:p w14:paraId="04F8B93A">
      <w:pPr>
        <w:spacing w:before="120" w:after="120" w:line="252"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Hỗ trợ từ nguồn ngân sách tỉnh chi phí đào tạo nghề, ngoại ngữ, bồi dưỡng kiến thức cần thiết,</w:t>
      </w:r>
      <w:r>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lang w:val="en-US"/>
        </w:rPr>
        <w:t xml:space="preserve">chi phí đi lại, </w:t>
      </w:r>
      <w:r>
        <w:rPr>
          <w:rFonts w:ascii="Times New Roman" w:hAnsi="Times New Roman" w:cs="Times New Roman"/>
          <w:color w:val="auto"/>
          <w:sz w:val="28"/>
          <w:szCs w:val="28"/>
          <w:shd w:val="clear" w:color="auto" w:fill="FFFFFF"/>
        </w:rPr>
        <w:t>khám sức khỏe, hộ chiếu, thị thực, lý lịch tư pháp</w:t>
      </w:r>
      <w:r>
        <w:rPr>
          <w:rFonts w:ascii="Times New Roman" w:hAnsi="Times New Roman" w:cs="Times New Roman"/>
          <w:color w:val="auto"/>
          <w:sz w:val="28"/>
          <w:szCs w:val="28"/>
          <w:shd w:val="clear" w:color="auto" w:fill="FFFFFF"/>
          <w:lang w:val="en-US"/>
        </w:rPr>
        <w:t>…</w:t>
      </w:r>
      <w:r>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lang w:val="en-US"/>
        </w:rPr>
        <w:t xml:space="preserve">cho </w:t>
      </w:r>
      <w:r>
        <w:rPr>
          <w:rFonts w:ascii="Times New Roman" w:hAnsi="Times New Roman" w:cs="Times New Roman"/>
          <w:color w:val="auto"/>
          <w:sz w:val="28"/>
          <w:szCs w:val="28"/>
          <w:shd w:val="clear" w:color="auto" w:fill="FFFFFF"/>
        </w:rPr>
        <w:t xml:space="preserve">người lao động theo hoá đơn, chứng từ thực tế nhưng tối đa không quá </w:t>
      </w:r>
      <w:r>
        <w:rPr>
          <w:rFonts w:ascii="Times New Roman" w:hAnsi="Times New Roman" w:cs="Times New Roman"/>
          <w:color w:val="auto"/>
          <w:sz w:val="28"/>
          <w:szCs w:val="28"/>
        </w:rPr>
        <w:t>12.000.000 đồng/lao động</w:t>
      </w:r>
      <w:r>
        <w:rPr>
          <w:rFonts w:ascii="Times New Roman" w:hAnsi="Times New Roman" w:cs="Times New Roman"/>
          <w:color w:val="auto"/>
          <w:sz w:val="28"/>
          <w:szCs w:val="28"/>
          <w:lang w:val="en-US"/>
        </w:rPr>
        <w:t>.</w:t>
      </w:r>
    </w:p>
    <w:p w14:paraId="11125428">
      <w:pPr>
        <w:pStyle w:val="35"/>
        <w:numPr>
          <w:ilvl w:val="0"/>
          <w:numId w:val="1"/>
        </w:numPr>
        <w:shd w:val="clear" w:color="auto" w:fill="auto"/>
        <w:spacing w:before="60" w:line="240" w:lineRule="auto"/>
        <w:ind w:left="0" w:leftChars="0" w:right="-1" w:firstLine="720" w:firstLineChars="0"/>
        <w:jc w:val="both"/>
        <w:rPr>
          <w:color w:val="auto"/>
          <w:sz w:val="28"/>
          <w:szCs w:val="28"/>
        </w:rPr>
      </w:pPr>
      <w:r>
        <w:rPr>
          <w:rFonts w:hint="default"/>
          <w:color w:val="auto"/>
          <w:sz w:val="28"/>
          <w:szCs w:val="28"/>
          <w:lang w:val="en-US"/>
        </w:rPr>
        <w:t>S</w:t>
      </w:r>
      <w:r>
        <w:rPr>
          <w:color w:val="auto"/>
          <w:sz w:val="28"/>
          <w:szCs w:val="28"/>
        </w:rPr>
        <w:t>ửa đổi điểm b khoản 2 Điều 1 Nghị quyết số 17/2020/NQ-HĐND:</w:t>
      </w:r>
    </w:p>
    <w:p w14:paraId="2EB82F59">
      <w:pPr>
        <w:pStyle w:val="35"/>
        <w:shd w:val="clear" w:color="auto" w:fill="auto"/>
        <w:tabs>
          <w:tab w:val="left" w:pos="709"/>
        </w:tabs>
        <w:spacing w:before="60" w:line="240" w:lineRule="auto"/>
        <w:ind w:firstLine="709"/>
        <w:jc w:val="both"/>
        <w:rPr>
          <w:color w:val="auto"/>
          <w:sz w:val="28"/>
          <w:szCs w:val="28"/>
        </w:rPr>
      </w:pPr>
      <w:r>
        <w:rPr>
          <w:color w:val="auto"/>
          <w:sz w:val="28"/>
          <w:szCs w:val="28"/>
        </w:rPr>
        <w:t xml:space="preserve">Mức vay: </w:t>
      </w:r>
      <w:r>
        <w:rPr>
          <w:iCs/>
          <w:color w:val="auto"/>
          <w:sz w:val="28"/>
          <w:szCs w:val="28"/>
        </w:rPr>
        <w:t>tối đa 100% chi phí theo hợp đồng ký kết giữa người lao động với doanh nghiệp dịch vụ, tổ chức sự nghiệp đưa lao động đi làm việc ở nước ngoài theo hợp đồng;</w:t>
      </w:r>
      <w:r>
        <w:rPr>
          <w:color w:val="auto"/>
          <w:sz w:val="28"/>
          <w:szCs w:val="28"/>
        </w:rPr>
        <w:t xml:space="preserve"> mức vay cụ thể đối với từng đối tượng căn cứ vào nhu cầu vay vốn của người vay để trang trải chi phí theo hợp đồng ký kết giữa người lao động với doanh nghiệp dịch vụ, tổ chức sự nghiệp đưa lao động đi làm việc ở nước ngoài theo hợp đồng, khả năng trả nợ của người vay và khả năng nguồn vốn uỷ thác của ngân sách tỉnh chuyển sang Ngân hàng Chính sách xã hội nhưng tối đa không vượt quá 150.000.000 đồng/người. Cụ thể như sau:</w:t>
      </w:r>
    </w:p>
    <w:p w14:paraId="5F7B3D8A">
      <w:pPr>
        <w:numPr>
          <w:ilvl w:val="0"/>
          <w:numId w:val="0"/>
        </w:numPr>
        <w:spacing w:before="120" w:after="120" w:line="252" w:lineRule="auto"/>
        <w:ind w:firstLine="720" w:firstLineChars="0"/>
        <w:jc w:val="both"/>
        <w:rPr>
          <w:color w:val="auto"/>
          <w:sz w:val="28"/>
          <w:szCs w:val="28"/>
        </w:rPr>
      </w:pPr>
      <w:r>
        <w:rPr>
          <w:color w:val="auto"/>
          <w:sz w:val="28"/>
          <w:szCs w:val="28"/>
        </w:rPr>
        <w:t>- Đối với đối tượng thuộc điểm a khoản 1 Điều 1 của Nghị quyết số 17/2020/NQ-HĐND: được vay tối đa 100% chi phí theo hợp đồng ký kết giữa người lao động với doanh nghiệp dịch vụ, tổ chức sự nghiệp đưa lao động đi làm việc ở nước ngoài theo hợp đồng, tối đa không quá 150.000.000 đồng/lao động.</w:t>
      </w:r>
    </w:p>
    <w:p w14:paraId="269559C7">
      <w:pPr>
        <w:numPr>
          <w:ilvl w:val="0"/>
          <w:numId w:val="0"/>
        </w:numPr>
        <w:spacing w:before="120" w:after="120" w:line="252" w:lineRule="auto"/>
        <w:ind w:firstLine="720" w:firstLineChars="0"/>
        <w:jc w:val="both"/>
        <w:rPr>
          <w:rFonts w:hint="default" w:ascii="Times New Roman" w:hAnsi="Times New Roman" w:cs="Times New Roman"/>
          <w:color w:val="auto"/>
          <w:sz w:val="28"/>
          <w:szCs w:val="28"/>
          <w:lang w:val="en-US"/>
        </w:rPr>
      </w:pPr>
      <w:r>
        <w:rPr>
          <w:color w:val="auto"/>
          <w:sz w:val="28"/>
          <w:szCs w:val="28"/>
        </w:rPr>
        <w:t>- Đối với đối tượng thuộc điểm b khoản 1 Điều 1 của Nghị quyết số 17/2020/NQ-HĐND: Hỗ trợ cho vay phần chênh lệch để đảm bảo đủ 100% chi phí xuất cảnh theo hợp đồng ký kết giữa người lao động với doanh nghiệp dịch vụ, tổ chức sự nghiệp đưa lao động đi làm việc ở nước ngoài theo hợp đồng (ngoài mức hỗ trợ cho vay theo quy định tại Nghị định số 74/2019/NĐ-CP và Nghị định số 61/2015/NĐ-CP).</w:t>
      </w:r>
    </w:p>
    <w:p w14:paraId="45A99F8E">
      <w:pPr>
        <w:spacing w:before="120" w:after="120" w:line="264" w:lineRule="auto"/>
        <w:ind w:firstLine="720"/>
        <w:jc w:val="both"/>
        <w:rPr>
          <w:sz w:val="28"/>
          <w:szCs w:val="28"/>
        </w:rPr>
      </w:pPr>
      <w:r>
        <w:rPr>
          <w:sz w:val="28"/>
          <w:szCs w:val="28"/>
        </w:rPr>
        <w:t xml:space="preserve">Lãi suất vay vốn: Lãi suất vay vốn ưu đãi đối với người lao động đi làm việc ở nước ngoài theo hợp đồng bằng lãi suất vay vốn đối với hộ nghèo theo từng thời kỳ do Chính phủ quy định. Lãi suất nợ quá hạn bằng 130% lãi suất vay vốn theo quy định. </w:t>
      </w:r>
    </w:p>
    <w:p w14:paraId="20C1F07C">
      <w:pPr>
        <w:spacing w:before="120" w:after="120" w:line="264" w:lineRule="auto"/>
        <w:ind w:firstLine="720"/>
        <w:jc w:val="both"/>
        <w:rPr>
          <w:sz w:val="28"/>
          <w:szCs w:val="28"/>
        </w:rPr>
      </w:pPr>
      <w:r>
        <w:rPr>
          <w:sz w:val="28"/>
          <w:szCs w:val="28"/>
        </w:rPr>
        <w:t>Thời hạn vay vốn: Không vượt quá thời hạn làm việc ghi trong hợp đồng ký kết giữa người lao động và doanh nghiệp dịch vụ, tổ chức sự nghiệp đưa người lao động đi làm việc ở nước ngoài.</w:t>
      </w:r>
    </w:p>
    <w:p w14:paraId="40E037C8">
      <w:pPr>
        <w:spacing w:before="120" w:after="120" w:line="252" w:lineRule="auto"/>
        <w:ind w:firstLine="720"/>
        <w:jc w:val="both"/>
        <w:rPr>
          <w:sz w:val="28"/>
          <w:szCs w:val="28"/>
        </w:rPr>
      </w:pPr>
      <w:r>
        <w:rPr>
          <w:b/>
          <w:bCs/>
          <w:sz w:val="28"/>
          <w:szCs w:val="28"/>
        </w:rPr>
        <w:t>Điều 2.</w:t>
      </w:r>
      <w:r>
        <w:rPr>
          <w:sz w:val="28"/>
          <w:szCs w:val="28"/>
        </w:rPr>
        <w:t xml:space="preserve"> Giao Ủy ban nhân dân tỉnh triển khai thực hiện Nghị quyết này.</w:t>
      </w:r>
    </w:p>
    <w:p w14:paraId="47DF4BBA">
      <w:pPr>
        <w:spacing w:before="120" w:after="120"/>
        <w:ind w:firstLine="720"/>
        <w:jc w:val="both"/>
        <w:rPr>
          <w:sz w:val="28"/>
          <w:szCs w:val="28"/>
        </w:rPr>
      </w:pPr>
      <w:r>
        <w:rPr>
          <w:b/>
          <w:bCs/>
          <w:sz w:val="28"/>
          <w:szCs w:val="28"/>
        </w:rPr>
        <w:t>Điều 3.</w:t>
      </w:r>
      <w:r>
        <w:rPr>
          <w:sz w:val="28"/>
          <w:szCs w:val="28"/>
        </w:rPr>
        <w:t xml:space="preserve"> Nghị quyết này đã được Hội đồng nhân dân tỉnh An Giang khóa X, kỳ họp thứ … thông qua ngày … tháng … năm 2024, có hiệu lực từ ngày … tháng … năm 2024./.</w:t>
      </w:r>
    </w:p>
    <w:p w14:paraId="2139FB0B">
      <w:pPr>
        <w:spacing w:before="180" w:after="180"/>
        <w:ind w:firstLine="720"/>
        <w:jc w:val="both"/>
        <w:rPr>
          <w:sz w:val="28"/>
          <w:szCs w:val="28"/>
        </w:rPr>
      </w:pPr>
    </w:p>
    <w:tbl>
      <w:tblPr>
        <w:tblStyle w:val="8"/>
        <w:tblW w:w="9606" w:type="dxa"/>
        <w:tblInd w:w="0" w:type="dxa"/>
        <w:tblLayout w:type="autofit"/>
        <w:tblCellMar>
          <w:top w:w="0" w:type="dxa"/>
          <w:left w:w="108" w:type="dxa"/>
          <w:bottom w:w="0" w:type="dxa"/>
          <w:right w:w="108" w:type="dxa"/>
        </w:tblCellMar>
      </w:tblPr>
      <w:tblGrid>
        <w:gridCol w:w="5495"/>
        <w:gridCol w:w="4111"/>
      </w:tblGrid>
      <w:tr w14:paraId="2161E71B">
        <w:tblPrEx>
          <w:tblCellMar>
            <w:top w:w="0" w:type="dxa"/>
            <w:left w:w="108" w:type="dxa"/>
            <w:bottom w:w="0" w:type="dxa"/>
            <w:right w:w="108" w:type="dxa"/>
          </w:tblCellMar>
        </w:tblPrEx>
        <w:tc>
          <w:tcPr>
            <w:tcW w:w="5495" w:type="dxa"/>
            <w:shd w:val="clear" w:color="auto" w:fill="auto"/>
          </w:tcPr>
          <w:p w14:paraId="35FE1201">
            <w:pPr>
              <w:jc w:val="both"/>
              <w:rPr>
                <w:b/>
                <w:i/>
                <w:sz w:val="24"/>
                <w:szCs w:val="24"/>
              </w:rPr>
            </w:pPr>
            <w:r>
              <w:rPr>
                <w:b/>
                <w:i/>
                <w:sz w:val="24"/>
                <w:szCs w:val="24"/>
                <w:lang w:val="vi-VN"/>
              </w:rPr>
              <w:t>N</w:t>
            </w:r>
            <w:r>
              <w:rPr>
                <w:rFonts w:hint="eastAsia"/>
                <w:b/>
                <w:i/>
                <w:sz w:val="24"/>
                <w:szCs w:val="24"/>
                <w:lang w:val="vi-VN"/>
              </w:rPr>
              <w:t>ơ</w:t>
            </w:r>
            <w:r>
              <w:rPr>
                <w:b/>
                <w:i/>
                <w:sz w:val="24"/>
                <w:szCs w:val="24"/>
                <w:lang w:val="vi-VN"/>
              </w:rPr>
              <w:t>i nhận:</w:t>
            </w:r>
          </w:p>
          <w:p w14:paraId="4DD41EEA">
            <w:pPr>
              <w:jc w:val="both"/>
              <w:rPr>
                <w:b/>
                <w:i/>
                <w:sz w:val="24"/>
                <w:szCs w:val="24"/>
                <w:lang w:val="vi-VN"/>
              </w:rPr>
            </w:pPr>
            <w:r>
              <w:rPr>
                <w:sz w:val="22"/>
                <w:lang w:val="vi-VN"/>
              </w:rPr>
              <w:t>- Ủy ban Thường vụ Quốc hội;</w:t>
            </w:r>
          </w:p>
          <w:p w14:paraId="09CF3A22">
            <w:pPr>
              <w:jc w:val="both"/>
              <w:rPr>
                <w:sz w:val="22"/>
              </w:rPr>
            </w:pPr>
            <w:r>
              <w:rPr>
                <w:sz w:val="22"/>
              </w:rPr>
              <w:t>- Chính phủ</w:t>
            </w:r>
            <w:r>
              <w:rPr>
                <w:sz w:val="22"/>
                <w:lang w:val="vi-VN"/>
              </w:rPr>
              <w:t>;</w:t>
            </w:r>
          </w:p>
          <w:p w14:paraId="54E10BCA">
            <w:pPr>
              <w:jc w:val="both"/>
              <w:rPr>
                <w:sz w:val="22"/>
              </w:rPr>
            </w:pPr>
            <w:r>
              <w:rPr>
                <w:sz w:val="22"/>
              </w:rPr>
              <w:t>- Ủy ban Trung ương MTTQVN;</w:t>
            </w:r>
          </w:p>
          <w:p w14:paraId="4E9449BC">
            <w:pPr>
              <w:jc w:val="both"/>
              <w:rPr>
                <w:sz w:val="22"/>
              </w:rPr>
            </w:pPr>
            <w:r>
              <w:rPr>
                <w:sz w:val="22"/>
              </w:rPr>
              <w:t>- Văn phòng Quốc hội;</w:t>
            </w:r>
          </w:p>
          <w:p w14:paraId="541BEB55">
            <w:pPr>
              <w:jc w:val="both"/>
              <w:rPr>
                <w:sz w:val="22"/>
              </w:rPr>
            </w:pPr>
            <w:r>
              <w:rPr>
                <w:sz w:val="22"/>
              </w:rPr>
              <w:t>- Văn phòng Chính phủ;</w:t>
            </w:r>
          </w:p>
          <w:p w14:paraId="64687A75">
            <w:pPr>
              <w:jc w:val="both"/>
              <w:rPr>
                <w:sz w:val="22"/>
              </w:rPr>
            </w:pPr>
            <w:r>
              <w:rPr>
                <w:sz w:val="22"/>
              </w:rPr>
              <w:t>- Bộ Lao động - Thương binh và Xã hội;</w:t>
            </w:r>
          </w:p>
          <w:p w14:paraId="18D0F33D">
            <w:pPr>
              <w:jc w:val="both"/>
              <w:rPr>
                <w:sz w:val="22"/>
              </w:rPr>
            </w:pPr>
            <w:r>
              <w:rPr>
                <w:sz w:val="22"/>
              </w:rPr>
              <w:t>- Bộ Tài chính;</w:t>
            </w:r>
          </w:p>
          <w:p w14:paraId="75E8C78B">
            <w:pPr>
              <w:pStyle w:val="10"/>
              <w:rPr>
                <w:sz w:val="22"/>
                <w:szCs w:val="22"/>
                <w:lang w:val="nb-NO"/>
              </w:rPr>
            </w:pPr>
            <w:r>
              <w:rPr>
                <w:sz w:val="22"/>
                <w:szCs w:val="22"/>
                <w:lang w:val="nb-NO"/>
              </w:rPr>
              <w:t>- Vụ Công tác Quốc hội, Địa phương và Đoàn thể - VPCP;</w:t>
            </w:r>
          </w:p>
          <w:p w14:paraId="4E4F82C8">
            <w:pPr>
              <w:pStyle w:val="10"/>
              <w:rPr>
                <w:sz w:val="22"/>
                <w:szCs w:val="22"/>
                <w:lang w:val="nb-NO"/>
              </w:rPr>
            </w:pPr>
            <w:r>
              <w:rPr>
                <w:sz w:val="22"/>
                <w:szCs w:val="22"/>
                <w:lang w:val="nb-NO"/>
              </w:rPr>
              <w:t xml:space="preserve">- Vụ Pháp chế: </w:t>
            </w:r>
            <w:r>
              <w:rPr>
                <w:sz w:val="22"/>
                <w:szCs w:val="22"/>
              </w:rPr>
              <w:t>Bộ Lao động - TBXH,</w:t>
            </w:r>
            <w:r>
              <w:rPr>
                <w:sz w:val="22"/>
                <w:szCs w:val="22"/>
                <w:lang w:val="nb-NO"/>
              </w:rPr>
              <w:t xml:space="preserve"> Bộ Tài chính;</w:t>
            </w:r>
          </w:p>
          <w:p w14:paraId="7536CB5F">
            <w:pPr>
              <w:pStyle w:val="10"/>
              <w:rPr>
                <w:sz w:val="22"/>
                <w:szCs w:val="22"/>
                <w:lang w:val="nb-NO"/>
              </w:rPr>
            </w:pPr>
            <w:r>
              <w:rPr>
                <w:sz w:val="22"/>
                <w:szCs w:val="22"/>
                <w:lang w:val="nb-NO"/>
              </w:rPr>
              <w:t>- Kiểm toán Nhà nước Khu vực IX;</w:t>
            </w:r>
          </w:p>
          <w:p w14:paraId="4DC0F7EA">
            <w:pPr>
              <w:pStyle w:val="10"/>
              <w:rPr>
                <w:sz w:val="22"/>
                <w:szCs w:val="22"/>
                <w:lang w:val="nb-NO"/>
              </w:rPr>
            </w:pPr>
            <w:r>
              <w:rPr>
                <w:sz w:val="22"/>
                <w:szCs w:val="22"/>
                <w:lang w:val="nb-NO"/>
              </w:rPr>
              <w:t>- Cục Kiểm tra VBQPPL - Bộ Tư pháp;</w:t>
            </w:r>
          </w:p>
          <w:p w14:paraId="5A52FFFE">
            <w:pPr>
              <w:pStyle w:val="10"/>
              <w:rPr>
                <w:sz w:val="22"/>
                <w:szCs w:val="22"/>
                <w:lang w:val="nb-NO"/>
              </w:rPr>
            </w:pPr>
            <w:r>
              <w:rPr>
                <w:sz w:val="22"/>
                <w:szCs w:val="22"/>
                <w:lang w:val="nb-NO"/>
              </w:rPr>
              <w:t>- Website Chính phủ;</w:t>
            </w:r>
          </w:p>
          <w:p w14:paraId="6BFBF76B">
            <w:pPr>
              <w:pStyle w:val="10"/>
              <w:rPr>
                <w:sz w:val="22"/>
                <w:szCs w:val="22"/>
                <w:lang w:val="nb-NO"/>
              </w:rPr>
            </w:pPr>
            <w:r>
              <w:rPr>
                <w:sz w:val="22"/>
                <w:szCs w:val="22"/>
                <w:lang w:val="nb-NO"/>
              </w:rPr>
              <w:t xml:space="preserve">- Thường trực: Tỉnh ủy, HĐND tỉnh; </w:t>
            </w:r>
          </w:p>
          <w:p w14:paraId="2406E8D5">
            <w:pPr>
              <w:pStyle w:val="10"/>
              <w:rPr>
                <w:sz w:val="22"/>
                <w:szCs w:val="22"/>
                <w:lang w:val="nb-NO"/>
              </w:rPr>
            </w:pPr>
            <w:r>
              <w:rPr>
                <w:sz w:val="22"/>
                <w:szCs w:val="22"/>
                <w:lang w:val="nb-NO"/>
              </w:rPr>
              <w:t>- UBND tỉnh, Ban Thường trực Ủy ban MTTQVN tỉnh;</w:t>
            </w:r>
          </w:p>
          <w:p w14:paraId="23AF4662">
            <w:pPr>
              <w:pStyle w:val="10"/>
              <w:rPr>
                <w:sz w:val="22"/>
                <w:szCs w:val="22"/>
                <w:lang w:val="nb-NO"/>
              </w:rPr>
            </w:pPr>
            <w:r>
              <w:rPr>
                <w:sz w:val="22"/>
                <w:szCs w:val="22"/>
                <w:lang w:val="nb-NO"/>
              </w:rPr>
              <w:t>- Đoàn ĐBQH tỉnh;</w:t>
            </w:r>
          </w:p>
          <w:p w14:paraId="1264BCDF">
            <w:pPr>
              <w:pStyle w:val="10"/>
              <w:rPr>
                <w:sz w:val="22"/>
                <w:szCs w:val="22"/>
                <w:lang w:val="nb-NO"/>
              </w:rPr>
            </w:pPr>
            <w:r>
              <w:rPr>
                <w:sz w:val="22"/>
                <w:szCs w:val="22"/>
                <w:lang w:val="nb-NO"/>
              </w:rPr>
              <w:t>- Đại biểu HĐND tỉnh;</w:t>
            </w:r>
          </w:p>
          <w:p w14:paraId="0A55EAA7">
            <w:pPr>
              <w:pStyle w:val="10"/>
              <w:rPr>
                <w:sz w:val="22"/>
                <w:szCs w:val="22"/>
                <w:lang w:val="nb-NO"/>
              </w:rPr>
            </w:pPr>
            <w:r>
              <w:rPr>
                <w:sz w:val="22"/>
                <w:szCs w:val="22"/>
                <w:lang w:val="nb-NO"/>
              </w:rPr>
              <w:t>- Các sở, ban, ngành, đoàn thể cấp tỉnh;</w:t>
            </w:r>
          </w:p>
          <w:p w14:paraId="0CC3F24C">
            <w:pPr>
              <w:pStyle w:val="10"/>
              <w:rPr>
                <w:sz w:val="22"/>
                <w:szCs w:val="22"/>
                <w:lang w:val="nb-NO"/>
              </w:rPr>
            </w:pPr>
            <w:r>
              <w:rPr>
                <w:sz w:val="22"/>
                <w:szCs w:val="22"/>
                <w:lang w:val="nb-NO"/>
              </w:rPr>
              <w:t>- Văn phòng: Tỉnh ủy, HĐND, UBND, UBMTTQVN tỉnh;</w:t>
            </w:r>
          </w:p>
          <w:p w14:paraId="69A1FAD2">
            <w:pPr>
              <w:pStyle w:val="10"/>
              <w:rPr>
                <w:sz w:val="22"/>
                <w:szCs w:val="22"/>
                <w:lang w:val="nb-NO"/>
              </w:rPr>
            </w:pPr>
            <w:r>
              <w:rPr>
                <w:sz w:val="22"/>
                <w:szCs w:val="22"/>
                <w:lang w:val="nb-NO"/>
              </w:rPr>
              <w:t>- Thường trực HĐND, UBND huyện, thị xã, thành phố;</w:t>
            </w:r>
          </w:p>
          <w:p w14:paraId="17615269">
            <w:pPr>
              <w:pStyle w:val="10"/>
              <w:rPr>
                <w:sz w:val="22"/>
                <w:szCs w:val="22"/>
                <w:lang w:val="nb-NO"/>
              </w:rPr>
            </w:pPr>
            <w:r>
              <w:rPr>
                <w:sz w:val="22"/>
                <w:szCs w:val="22"/>
                <w:lang w:val="nb-NO"/>
              </w:rPr>
              <w:t>- Cơ quan thường trú TTXVN tại An Giang, Báo Nhân dân tại An Giang, Truyền hình Quốc hội tại tỉnh Kiên Giang;</w:t>
            </w:r>
          </w:p>
          <w:p w14:paraId="70B606EE">
            <w:pPr>
              <w:pStyle w:val="10"/>
              <w:rPr>
                <w:sz w:val="22"/>
                <w:szCs w:val="22"/>
              </w:rPr>
            </w:pPr>
            <w:r>
              <w:rPr>
                <w:sz w:val="22"/>
                <w:szCs w:val="22"/>
              </w:rPr>
              <w:t>- Báo An Giang, Đài Phát thanh - Truyền hình An Giang;</w:t>
            </w:r>
          </w:p>
          <w:p w14:paraId="295D9AE5">
            <w:pPr>
              <w:pStyle w:val="10"/>
              <w:rPr>
                <w:sz w:val="22"/>
                <w:szCs w:val="22"/>
              </w:rPr>
            </w:pPr>
            <w:r>
              <w:rPr>
                <w:sz w:val="22"/>
                <w:szCs w:val="22"/>
              </w:rPr>
              <w:t>- Website tỉnh, Trung tâm Công báo - Tin học;</w:t>
            </w:r>
          </w:p>
          <w:p w14:paraId="0BDB59AF">
            <w:pPr>
              <w:pStyle w:val="10"/>
              <w:rPr>
                <w:sz w:val="22"/>
                <w:szCs w:val="22"/>
              </w:rPr>
            </w:pPr>
            <w:r>
              <w:rPr>
                <w:sz w:val="22"/>
                <w:szCs w:val="22"/>
              </w:rPr>
              <w:t>- Cổng Thông tin điện tử Văn phòng HĐND tỉnh;</w:t>
            </w:r>
          </w:p>
          <w:p w14:paraId="42660B6C">
            <w:pPr>
              <w:jc w:val="both"/>
              <w:rPr>
                <w:sz w:val="22"/>
              </w:rPr>
            </w:pPr>
            <w:r>
              <w:rPr>
                <w:sz w:val="22"/>
                <w:szCs w:val="22"/>
              </w:rPr>
              <w:t>- Lưu: VT, Phòng Tổng hợp.</w:t>
            </w:r>
          </w:p>
          <w:p w14:paraId="429F92B2">
            <w:pPr>
              <w:spacing w:before="120" w:after="120"/>
              <w:jc w:val="both"/>
            </w:pPr>
          </w:p>
        </w:tc>
        <w:tc>
          <w:tcPr>
            <w:tcW w:w="4111" w:type="dxa"/>
            <w:shd w:val="clear" w:color="auto" w:fill="auto"/>
          </w:tcPr>
          <w:p w14:paraId="0946A450">
            <w:pPr>
              <w:jc w:val="center"/>
              <w:rPr>
                <w:b/>
                <w:sz w:val="30"/>
              </w:rPr>
            </w:pPr>
            <w:r>
              <w:rPr>
                <w:b/>
                <w:sz w:val="30"/>
              </w:rPr>
              <w:t>CHỦ TỌA KỲ HỌP</w:t>
            </w:r>
          </w:p>
          <w:p w14:paraId="5F38BBA2">
            <w:pPr>
              <w:jc w:val="center"/>
              <w:rPr>
                <w:b/>
                <w:sz w:val="30"/>
              </w:rPr>
            </w:pPr>
          </w:p>
          <w:p w14:paraId="0B846862">
            <w:pPr>
              <w:jc w:val="center"/>
              <w:rPr>
                <w:b/>
                <w:sz w:val="30"/>
              </w:rPr>
            </w:pPr>
          </w:p>
          <w:p w14:paraId="5D9521DA">
            <w:pPr>
              <w:jc w:val="center"/>
              <w:rPr>
                <w:b/>
                <w:sz w:val="30"/>
              </w:rPr>
            </w:pPr>
          </w:p>
          <w:p w14:paraId="19077A38">
            <w:pPr>
              <w:jc w:val="center"/>
              <w:rPr>
                <w:b/>
                <w:sz w:val="30"/>
              </w:rPr>
            </w:pPr>
          </w:p>
          <w:p w14:paraId="7EDC384A">
            <w:pPr>
              <w:jc w:val="center"/>
              <w:rPr>
                <w:b/>
                <w:sz w:val="30"/>
              </w:rPr>
            </w:pPr>
          </w:p>
          <w:p w14:paraId="00ABF3C5">
            <w:pPr>
              <w:jc w:val="center"/>
              <w:rPr>
                <w:sz w:val="10"/>
              </w:rPr>
            </w:pPr>
          </w:p>
          <w:p w14:paraId="63B1FACE">
            <w:pPr>
              <w:jc w:val="center"/>
              <w:rPr>
                <w:sz w:val="12"/>
              </w:rPr>
            </w:pPr>
          </w:p>
          <w:p w14:paraId="34D3294E">
            <w:pPr>
              <w:jc w:val="center"/>
              <w:rPr>
                <w:b/>
              </w:rPr>
            </w:pPr>
          </w:p>
        </w:tc>
      </w:tr>
    </w:tbl>
    <w:p w14:paraId="064C46D3">
      <w:pPr>
        <w:spacing w:after="360"/>
        <w:rPr>
          <w:b/>
          <w:sz w:val="26"/>
          <w:szCs w:val="28"/>
        </w:rPr>
      </w:pPr>
    </w:p>
    <w:p w14:paraId="59848CB2">
      <w:pPr>
        <w:spacing w:before="120" w:after="120"/>
        <w:jc w:val="both"/>
        <w:rPr>
          <w:sz w:val="28"/>
          <w:szCs w:val="28"/>
        </w:rPr>
      </w:pPr>
    </w:p>
    <w:sectPr>
      <w:headerReference r:id="rId3" w:type="default"/>
      <w:pgSz w:w="11907" w:h="16840"/>
      <w:pgMar w:top="851" w:right="1134" w:bottom="284" w:left="1701" w:header="454" w:footer="454"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86"/>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0350448"/>
      <w:docPartObj>
        <w:docPartGallery w:val="autotext"/>
      </w:docPartObj>
    </w:sdtPr>
    <w:sdtEndPr>
      <w:rPr>
        <w:sz w:val="24"/>
        <w:szCs w:val="24"/>
      </w:rPr>
    </w:sdtEndPr>
    <w:sdtContent>
      <w:p w14:paraId="31C3DBFA">
        <w:pPr>
          <w:pStyle w:val="1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sdtContent>
  </w:sdt>
  <w:p w14:paraId="711599E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52ACA"/>
    <w:multiLevelType w:val="singleLevel"/>
    <w:tmpl w:val="44352A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0E"/>
    <w:rsid w:val="000002CF"/>
    <w:rsid w:val="00001186"/>
    <w:rsid w:val="000039E3"/>
    <w:rsid w:val="00003F7D"/>
    <w:rsid w:val="00007028"/>
    <w:rsid w:val="00016350"/>
    <w:rsid w:val="00017A27"/>
    <w:rsid w:val="00021B28"/>
    <w:rsid w:val="0002221B"/>
    <w:rsid w:val="000227D7"/>
    <w:rsid w:val="00027AC1"/>
    <w:rsid w:val="0003145D"/>
    <w:rsid w:val="00031F54"/>
    <w:rsid w:val="0003305D"/>
    <w:rsid w:val="0003467F"/>
    <w:rsid w:val="00041B4C"/>
    <w:rsid w:val="0004205C"/>
    <w:rsid w:val="00042FC9"/>
    <w:rsid w:val="00043A3C"/>
    <w:rsid w:val="00043DBB"/>
    <w:rsid w:val="00044CAC"/>
    <w:rsid w:val="000454EC"/>
    <w:rsid w:val="00050365"/>
    <w:rsid w:val="000533DA"/>
    <w:rsid w:val="00054BF9"/>
    <w:rsid w:val="00063C7C"/>
    <w:rsid w:val="00065347"/>
    <w:rsid w:val="000712BB"/>
    <w:rsid w:val="00077456"/>
    <w:rsid w:val="00081219"/>
    <w:rsid w:val="0009722F"/>
    <w:rsid w:val="000A00E3"/>
    <w:rsid w:val="000A3555"/>
    <w:rsid w:val="000A6270"/>
    <w:rsid w:val="000A65E1"/>
    <w:rsid w:val="000A6A6C"/>
    <w:rsid w:val="000B075E"/>
    <w:rsid w:val="000B778F"/>
    <w:rsid w:val="000C02BB"/>
    <w:rsid w:val="000C194C"/>
    <w:rsid w:val="000C3B1C"/>
    <w:rsid w:val="000D083C"/>
    <w:rsid w:val="000D2ACF"/>
    <w:rsid w:val="000D3E42"/>
    <w:rsid w:val="000D5FA4"/>
    <w:rsid w:val="000E5C40"/>
    <w:rsid w:val="000E7763"/>
    <w:rsid w:val="000F4A4F"/>
    <w:rsid w:val="000F4E81"/>
    <w:rsid w:val="000F6763"/>
    <w:rsid w:val="001047B1"/>
    <w:rsid w:val="00105A42"/>
    <w:rsid w:val="00105EF8"/>
    <w:rsid w:val="00107A7D"/>
    <w:rsid w:val="0012171E"/>
    <w:rsid w:val="0012179B"/>
    <w:rsid w:val="001249F9"/>
    <w:rsid w:val="00130061"/>
    <w:rsid w:val="00131C92"/>
    <w:rsid w:val="00141675"/>
    <w:rsid w:val="0014736A"/>
    <w:rsid w:val="001478C0"/>
    <w:rsid w:val="00147A1C"/>
    <w:rsid w:val="00150457"/>
    <w:rsid w:val="00150CCE"/>
    <w:rsid w:val="00153C81"/>
    <w:rsid w:val="001545DF"/>
    <w:rsid w:val="0015502D"/>
    <w:rsid w:val="00156AF0"/>
    <w:rsid w:val="0015700A"/>
    <w:rsid w:val="00163FF7"/>
    <w:rsid w:val="00164E16"/>
    <w:rsid w:val="00166A9A"/>
    <w:rsid w:val="00173372"/>
    <w:rsid w:val="00173A3B"/>
    <w:rsid w:val="00174ED4"/>
    <w:rsid w:val="001764BA"/>
    <w:rsid w:val="00177050"/>
    <w:rsid w:val="00183144"/>
    <w:rsid w:val="00183573"/>
    <w:rsid w:val="00186496"/>
    <w:rsid w:val="00186E64"/>
    <w:rsid w:val="00187EC1"/>
    <w:rsid w:val="0019123F"/>
    <w:rsid w:val="0019184E"/>
    <w:rsid w:val="00195F68"/>
    <w:rsid w:val="00196C61"/>
    <w:rsid w:val="001A0A73"/>
    <w:rsid w:val="001A622A"/>
    <w:rsid w:val="001A7BA2"/>
    <w:rsid w:val="001B224B"/>
    <w:rsid w:val="001B28F9"/>
    <w:rsid w:val="001B3880"/>
    <w:rsid w:val="001B3FAC"/>
    <w:rsid w:val="001B4544"/>
    <w:rsid w:val="001B5579"/>
    <w:rsid w:val="001B7A60"/>
    <w:rsid w:val="001C489D"/>
    <w:rsid w:val="001D3607"/>
    <w:rsid w:val="001D4A69"/>
    <w:rsid w:val="001D4BC5"/>
    <w:rsid w:val="001F03C3"/>
    <w:rsid w:val="001F4588"/>
    <w:rsid w:val="001F584F"/>
    <w:rsid w:val="00200E63"/>
    <w:rsid w:val="002077BF"/>
    <w:rsid w:val="00210AA0"/>
    <w:rsid w:val="00211B77"/>
    <w:rsid w:val="00212583"/>
    <w:rsid w:val="002139CB"/>
    <w:rsid w:val="00215803"/>
    <w:rsid w:val="00215BB4"/>
    <w:rsid w:val="00217BE9"/>
    <w:rsid w:val="0022000F"/>
    <w:rsid w:val="00222C9E"/>
    <w:rsid w:val="002237FB"/>
    <w:rsid w:val="00223944"/>
    <w:rsid w:val="00230300"/>
    <w:rsid w:val="00231796"/>
    <w:rsid w:val="00232D6D"/>
    <w:rsid w:val="00235D90"/>
    <w:rsid w:val="00236EE5"/>
    <w:rsid w:val="00244AB0"/>
    <w:rsid w:val="00244D99"/>
    <w:rsid w:val="00251CFE"/>
    <w:rsid w:val="002569A3"/>
    <w:rsid w:val="00256C07"/>
    <w:rsid w:val="0026437A"/>
    <w:rsid w:val="00267782"/>
    <w:rsid w:val="00267EF9"/>
    <w:rsid w:val="0027459F"/>
    <w:rsid w:val="002749BD"/>
    <w:rsid w:val="00280B98"/>
    <w:rsid w:val="0028360E"/>
    <w:rsid w:val="002878EA"/>
    <w:rsid w:val="00287D53"/>
    <w:rsid w:val="00290621"/>
    <w:rsid w:val="002909C4"/>
    <w:rsid w:val="002927F3"/>
    <w:rsid w:val="00292B7B"/>
    <w:rsid w:val="00297948"/>
    <w:rsid w:val="00297C6B"/>
    <w:rsid w:val="002A1193"/>
    <w:rsid w:val="002A1CD8"/>
    <w:rsid w:val="002A1E8B"/>
    <w:rsid w:val="002A2ECA"/>
    <w:rsid w:val="002A7E1B"/>
    <w:rsid w:val="002B091B"/>
    <w:rsid w:val="002B0F59"/>
    <w:rsid w:val="002B1B9F"/>
    <w:rsid w:val="002B205A"/>
    <w:rsid w:val="002B5ECB"/>
    <w:rsid w:val="002B5FE2"/>
    <w:rsid w:val="002B6B1A"/>
    <w:rsid w:val="002C08FE"/>
    <w:rsid w:val="002C34B2"/>
    <w:rsid w:val="002C3DD3"/>
    <w:rsid w:val="002C48B0"/>
    <w:rsid w:val="002C6B98"/>
    <w:rsid w:val="002D0FD5"/>
    <w:rsid w:val="002D1981"/>
    <w:rsid w:val="002D3EE3"/>
    <w:rsid w:val="002D45C4"/>
    <w:rsid w:val="002D4E96"/>
    <w:rsid w:val="002D5339"/>
    <w:rsid w:val="002D7108"/>
    <w:rsid w:val="002E3D6F"/>
    <w:rsid w:val="002E79E7"/>
    <w:rsid w:val="002F08CF"/>
    <w:rsid w:val="002F1D8F"/>
    <w:rsid w:val="002F7723"/>
    <w:rsid w:val="003010A1"/>
    <w:rsid w:val="0030380D"/>
    <w:rsid w:val="003046AA"/>
    <w:rsid w:val="00304E0E"/>
    <w:rsid w:val="00306826"/>
    <w:rsid w:val="00311984"/>
    <w:rsid w:val="00311D38"/>
    <w:rsid w:val="00313972"/>
    <w:rsid w:val="00321E7F"/>
    <w:rsid w:val="00334E1A"/>
    <w:rsid w:val="003355D5"/>
    <w:rsid w:val="00340D33"/>
    <w:rsid w:val="003440EC"/>
    <w:rsid w:val="00346828"/>
    <w:rsid w:val="003505DA"/>
    <w:rsid w:val="003532B4"/>
    <w:rsid w:val="0035529A"/>
    <w:rsid w:val="003553FF"/>
    <w:rsid w:val="00355EEA"/>
    <w:rsid w:val="0036385D"/>
    <w:rsid w:val="003657FA"/>
    <w:rsid w:val="00370B15"/>
    <w:rsid w:val="0037116F"/>
    <w:rsid w:val="003712F3"/>
    <w:rsid w:val="0037413F"/>
    <w:rsid w:val="003749F5"/>
    <w:rsid w:val="0038328A"/>
    <w:rsid w:val="00385A82"/>
    <w:rsid w:val="00390C64"/>
    <w:rsid w:val="00392AD7"/>
    <w:rsid w:val="003963FA"/>
    <w:rsid w:val="003A02A4"/>
    <w:rsid w:val="003A1064"/>
    <w:rsid w:val="003A1236"/>
    <w:rsid w:val="003A2B86"/>
    <w:rsid w:val="003A3503"/>
    <w:rsid w:val="003B40AD"/>
    <w:rsid w:val="003B7BC1"/>
    <w:rsid w:val="003B7D6B"/>
    <w:rsid w:val="003C0506"/>
    <w:rsid w:val="003C13BD"/>
    <w:rsid w:val="003D0D91"/>
    <w:rsid w:val="003D5EE6"/>
    <w:rsid w:val="003D6E60"/>
    <w:rsid w:val="003E03AE"/>
    <w:rsid w:val="003E0FA2"/>
    <w:rsid w:val="003E1515"/>
    <w:rsid w:val="003E1E47"/>
    <w:rsid w:val="003E464D"/>
    <w:rsid w:val="003F0BC0"/>
    <w:rsid w:val="003F19AA"/>
    <w:rsid w:val="00401252"/>
    <w:rsid w:val="00402765"/>
    <w:rsid w:val="00403E92"/>
    <w:rsid w:val="00411DF9"/>
    <w:rsid w:val="004131E2"/>
    <w:rsid w:val="00413291"/>
    <w:rsid w:val="00415988"/>
    <w:rsid w:val="004229F5"/>
    <w:rsid w:val="00422AD4"/>
    <w:rsid w:val="004231DD"/>
    <w:rsid w:val="00424638"/>
    <w:rsid w:val="00424ABF"/>
    <w:rsid w:val="0042730B"/>
    <w:rsid w:val="0043781D"/>
    <w:rsid w:val="00437878"/>
    <w:rsid w:val="004424C3"/>
    <w:rsid w:val="00442C55"/>
    <w:rsid w:val="0045176A"/>
    <w:rsid w:val="00451C0D"/>
    <w:rsid w:val="004552EC"/>
    <w:rsid w:val="00457BB7"/>
    <w:rsid w:val="00463025"/>
    <w:rsid w:val="0046335E"/>
    <w:rsid w:val="00463362"/>
    <w:rsid w:val="004656D8"/>
    <w:rsid w:val="0046667F"/>
    <w:rsid w:val="00466F47"/>
    <w:rsid w:val="004676D4"/>
    <w:rsid w:val="00471003"/>
    <w:rsid w:val="004719D1"/>
    <w:rsid w:val="00476ED8"/>
    <w:rsid w:val="0048185B"/>
    <w:rsid w:val="00484D5C"/>
    <w:rsid w:val="0049170D"/>
    <w:rsid w:val="0049216E"/>
    <w:rsid w:val="004950CA"/>
    <w:rsid w:val="004970AC"/>
    <w:rsid w:val="00497C61"/>
    <w:rsid w:val="004A013F"/>
    <w:rsid w:val="004A1385"/>
    <w:rsid w:val="004A187B"/>
    <w:rsid w:val="004A1BDC"/>
    <w:rsid w:val="004A22EE"/>
    <w:rsid w:val="004A4D89"/>
    <w:rsid w:val="004A66B3"/>
    <w:rsid w:val="004B00F9"/>
    <w:rsid w:val="004B035F"/>
    <w:rsid w:val="004B5123"/>
    <w:rsid w:val="004B7224"/>
    <w:rsid w:val="004C290C"/>
    <w:rsid w:val="004C3CB6"/>
    <w:rsid w:val="004C68B2"/>
    <w:rsid w:val="004C70BE"/>
    <w:rsid w:val="004C7E7A"/>
    <w:rsid w:val="004D0334"/>
    <w:rsid w:val="004D6491"/>
    <w:rsid w:val="004E5837"/>
    <w:rsid w:val="004F00C9"/>
    <w:rsid w:val="004F021F"/>
    <w:rsid w:val="004F0BB4"/>
    <w:rsid w:val="004F1BE3"/>
    <w:rsid w:val="004F543F"/>
    <w:rsid w:val="00502A03"/>
    <w:rsid w:val="00503464"/>
    <w:rsid w:val="00507881"/>
    <w:rsid w:val="005125B0"/>
    <w:rsid w:val="0052005D"/>
    <w:rsid w:val="005270A0"/>
    <w:rsid w:val="00527E4A"/>
    <w:rsid w:val="00534762"/>
    <w:rsid w:val="00535A26"/>
    <w:rsid w:val="00535C85"/>
    <w:rsid w:val="00537E57"/>
    <w:rsid w:val="00537F8D"/>
    <w:rsid w:val="00541A4B"/>
    <w:rsid w:val="00543BD1"/>
    <w:rsid w:val="00545225"/>
    <w:rsid w:val="00545DF9"/>
    <w:rsid w:val="00547D26"/>
    <w:rsid w:val="00551246"/>
    <w:rsid w:val="005514A6"/>
    <w:rsid w:val="00552AFA"/>
    <w:rsid w:val="00552C0A"/>
    <w:rsid w:val="00552DAE"/>
    <w:rsid w:val="00554EA4"/>
    <w:rsid w:val="00555E29"/>
    <w:rsid w:val="00557E29"/>
    <w:rsid w:val="00565F3F"/>
    <w:rsid w:val="00566979"/>
    <w:rsid w:val="00573482"/>
    <w:rsid w:val="00573E9C"/>
    <w:rsid w:val="00574A6D"/>
    <w:rsid w:val="00574C18"/>
    <w:rsid w:val="00574EA5"/>
    <w:rsid w:val="0057585B"/>
    <w:rsid w:val="00576D2F"/>
    <w:rsid w:val="0057752E"/>
    <w:rsid w:val="00580AF9"/>
    <w:rsid w:val="00581797"/>
    <w:rsid w:val="0058371A"/>
    <w:rsid w:val="005844B8"/>
    <w:rsid w:val="00584620"/>
    <w:rsid w:val="00587367"/>
    <w:rsid w:val="00593636"/>
    <w:rsid w:val="005A0348"/>
    <w:rsid w:val="005A1FF3"/>
    <w:rsid w:val="005A27DA"/>
    <w:rsid w:val="005A2B46"/>
    <w:rsid w:val="005B0873"/>
    <w:rsid w:val="005C020B"/>
    <w:rsid w:val="005C2D16"/>
    <w:rsid w:val="005C47F3"/>
    <w:rsid w:val="005C7BF1"/>
    <w:rsid w:val="005D01D1"/>
    <w:rsid w:val="005D34A7"/>
    <w:rsid w:val="005D5E9C"/>
    <w:rsid w:val="005E27FD"/>
    <w:rsid w:val="005E43B4"/>
    <w:rsid w:val="005E6967"/>
    <w:rsid w:val="005F24ED"/>
    <w:rsid w:val="005F42F1"/>
    <w:rsid w:val="005F7E33"/>
    <w:rsid w:val="00602B61"/>
    <w:rsid w:val="00604192"/>
    <w:rsid w:val="00604569"/>
    <w:rsid w:val="00611A9A"/>
    <w:rsid w:val="00611C8B"/>
    <w:rsid w:val="00612B52"/>
    <w:rsid w:val="00613975"/>
    <w:rsid w:val="006300A0"/>
    <w:rsid w:val="00633429"/>
    <w:rsid w:val="006353C9"/>
    <w:rsid w:val="00637BA0"/>
    <w:rsid w:val="00640069"/>
    <w:rsid w:val="00641917"/>
    <w:rsid w:val="00642CBD"/>
    <w:rsid w:val="00642D08"/>
    <w:rsid w:val="0064610B"/>
    <w:rsid w:val="00651565"/>
    <w:rsid w:val="00651D70"/>
    <w:rsid w:val="00654110"/>
    <w:rsid w:val="00654CCA"/>
    <w:rsid w:val="00656C87"/>
    <w:rsid w:val="00663FB4"/>
    <w:rsid w:val="006774D1"/>
    <w:rsid w:val="006939E1"/>
    <w:rsid w:val="0069402B"/>
    <w:rsid w:val="00694635"/>
    <w:rsid w:val="00694FA4"/>
    <w:rsid w:val="0069598D"/>
    <w:rsid w:val="00695D58"/>
    <w:rsid w:val="00697789"/>
    <w:rsid w:val="00697B8D"/>
    <w:rsid w:val="006A3747"/>
    <w:rsid w:val="006A6637"/>
    <w:rsid w:val="006B07C7"/>
    <w:rsid w:val="006B155F"/>
    <w:rsid w:val="006B1E27"/>
    <w:rsid w:val="006B6E95"/>
    <w:rsid w:val="006B77AE"/>
    <w:rsid w:val="006B7B6C"/>
    <w:rsid w:val="006C024A"/>
    <w:rsid w:val="006C3C0D"/>
    <w:rsid w:val="006C3E18"/>
    <w:rsid w:val="006D047E"/>
    <w:rsid w:val="006D3099"/>
    <w:rsid w:val="006D32C4"/>
    <w:rsid w:val="006D4B1E"/>
    <w:rsid w:val="006E2820"/>
    <w:rsid w:val="006E3AF2"/>
    <w:rsid w:val="006E6171"/>
    <w:rsid w:val="007012DE"/>
    <w:rsid w:val="00705F33"/>
    <w:rsid w:val="00707AD9"/>
    <w:rsid w:val="00711488"/>
    <w:rsid w:val="00712B7E"/>
    <w:rsid w:val="00717CEC"/>
    <w:rsid w:val="00721080"/>
    <w:rsid w:val="00722808"/>
    <w:rsid w:val="00722EE3"/>
    <w:rsid w:val="00724A90"/>
    <w:rsid w:val="00725884"/>
    <w:rsid w:val="00725AC5"/>
    <w:rsid w:val="0072685A"/>
    <w:rsid w:val="007304A5"/>
    <w:rsid w:val="007325A1"/>
    <w:rsid w:val="00733349"/>
    <w:rsid w:val="00733675"/>
    <w:rsid w:val="00734AC2"/>
    <w:rsid w:val="007366C4"/>
    <w:rsid w:val="0073712F"/>
    <w:rsid w:val="007420A7"/>
    <w:rsid w:val="00742962"/>
    <w:rsid w:val="00744065"/>
    <w:rsid w:val="00761489"/>
    <w:rsid w:val="00761B4A"/>
    <w:rsid w:val="00763095"/>
    <w:rsid w:val="007648A9"/>
    <w:rsid w:val="00765A05"/>
    <w:rsid w:val="0077478C"/>
    <w:rsid w:val="00776307"/>
    <w:rsid w:val="00780409"/>
    <w:rsid w:val="007818A0"/>
    <w:rsid w:val="0078296C"/>
    <w:rsid w:val="0078396B"/>
    <w:rsid w:val="00787CC3"/>
    <w:rsid w:val="00791AC4"/>
    <w:rsid w:val="0079457D"/>
    <w:rsid w:val="007956E5"/>
    <w:rsid w:val="007A0521"/>
    <w:rsid w:val="007A3A25"/>
    <w:rsid w:val="007B2154"/>
    <w:rsid w:val="007B26BE"/>
    <w:rsid w:val="007B5D5B"/>
    <w:rsid w:val="007B6306"/>
    <w:rsid w:val="007B673A"/>
    <w:rsid w:val="007B733D"/>
    <w:rsid w:val="007B7EF8"/>
    <w:rsid w:val="007C5F75"/>
    <w:rsid w:val="007C776F"/>
    <w:rsid w:val="007D23E4"/>
    <w:rsid w:val="007D3D8D"/>
    <w:rsid w:val="007D5956"/>
    <w:rsid w:val="007D5BE1"/>
    <w:rsid w:val="007E1D06"/>
    <w:rsid w:val="007E563E"/>
    <w:rsid w:val="007F113D"/>
    <w:rsid w:val="007F2C45"/>
    <w:rsid w:val="007F4B68"/>
    <w:rsid w:val="007F738F"/>
    <w:rsid w:val="008001F2"/>
    <w:rsid w:val="008030CD"/>
    <w:rsid w:val="008044F0"/>
    <w:rsid w:val="00804A70"/>
    <w:rsid w:val="00805253"/>
    <w:rsid w:val="00805CD8"/>
    <w:rsid w:val="00806820"/>
    <w:rsid w:val="00811271"/>
    <w:rsid w:val="00812249"/>
    <w:rsid w:val="008148D3"/>
    <w:rsid w:val="00814A30"/>
    <w:rsid w:val="00825904"/>
    <w:rsid w:val="008278A1"/>
    <w:rsid w:val="00830206"/>
    <w:rsid w:val="0083243C"/>
    <w:rsid w:val="00843145"/>
    <w:rsid w:val="0084532D"/>
    <w:rsid w:val="00846DFA"/>
    <w:rsid w:val="00850748"/>
    <w:rsid w:val="00852F4F"/>
    <w:rsid w:val="008546BA"/>
    <w:rsid w:val="00855718"/>
    <w:rsid w:val="008559B8"/>
    <w:rsid w:val="00860A64"/>
    <w:rsid w:val="00870F3A"/>
    <w:rsid w:val="0087416D"/>
    <w:rsid w:val="008758E9"/>
    <w:rsid w:val="00877BA3"/>
    <w:rsid w:val="00881E83"/>
    <w:rsid w:val="00883F75"/>
    <w:rsid w:val="008926E8"/>
    <w:rsid w:val="00892E54"/>
    <w:rsid w:val="008973F9"/>
    <w:rsid w:val="008A0A27"/>
    <w:rsid w:val="008A1330"/>
    <w:rsid w:val="008A1846"/>
    <w:rsid w:val="008A2531"/>
    <w:rsid w:val="008A51AE"/>
    <w:rsid w:val="008A5686"/>
    <w:rsid w:val="008A68E4"/>
    <w:rsid w:val="008B0FE5"/>
    <w:rsid w:val="008C030A"/>
    <w:rsid w:val="008C0687"/>
    <w:rsid w:val="008C3482"/>
    <w:rsid w:val="008C7EE5"/>
    <w:rsid w:val="008D37B7"/>
    <w:rsid w:val="008D3E01"/>
    <w:rsid w:val="008E1AD1"/>
    <w:rsid w:val="008E1E13"/>
    <w:rsid w:val="008E500D"/>
    <w:rsid w:val="008E641C"/>
    <w:rsid w:val="008E7FD8"/>
    <w:rsid w:val="008F0C50"/>
    <w:rsid w:val="008F1DC5"/>
    <w:rsid w:val="008F2E29"/>
    <w:rsid w:val="008F719F"/>
    <w:rsid w:val="008F737D"/>
    <w:rsid w:val="00904F53"/>
    <w:rsid w:val="00907A5E"/>
    <w:rsid w:val="00911D15"/>
    <w:rsid w:val="0091587F"/>
    <w:rsid w:val="009166A2"/>
    <w:rsid w:val="00921394"/>
    <w:rsid w:val="00924377"/>
    <w:rsid w:val="00926E6F"/>
    <w:rsid w:val="00930B30"/>
    <w:rsid w:val="009322E3"/>
    <w:rsid w:val="00933662"/>
    <w:rsid w:val="00933E9B"/>
    <w:rsid w:val="00940643"/>
    <w:rsid w:val="00941549"/>
    <w:rsid w:val="009429F1"/>
    <w:rsid w:val="0094346A"/>
    <w:rsid w:val="00943F72"/>
    <w:rsid w:val="00951FB6"/>
    <w:rsid w:val="00953BCD"/>
    <w:rsid w:val="00956602"/>
    <w:rsid w:val="0097290F"/>
    <w:rsid w:val="00972EC0"/>
    <w:rsid w:val="00987674"/>
    <w:rsid w:val="0098768A"/>
    <w:rsid w:val="009908FD"/>
    <w:rsid w:val="00990E44"/>
    <w:rsid w:val="00991F6A"/>
    <w:rsid w:val="009941F0"/>
    <w:rsid w:val="00994907"/>
    <w:rsid w:val="009A4E27"/>
    <w:rsid w:val="009A65DB"/>
    <w:rsid w:val="009B0DA4"/>
    <w:rsid w:val="009B7325"/>
    <w:rsid w:val="009C01E2"/>
    <w:rsid w:val="009C0AAE"/>
    <w:rsid w:val="009C1A2D"/>
    <w:rsid w:val="009C56A1"/>
    <w:rsid w:val="009C67EF"/>
    <w:rsid w:val="009C7338"/>
    <w:rsid w:val="009D1817"/>
    <w:rsid w:val="009D662D"/>
    <w:rsid w:val="009E015E"/>
    <w:rsid w:val="009E1223"/>
    <w:rsid w:val="009E32AE"/>
    <w:rsid w:val="009E57FD"/>
    <w:rsid w:val="009E6EB8"/>
    <w:rsid w:val="009E7802"/>
    <w:rsid w:val="009E7B3F"/>
    <w:rsid w:val="009F5247"/>
    <w:rsid w:val="009F59F3"/>
    <w:rsid w:val="009F60B7"/>
    <w:rsid w:val="009F7A86"/>
    <w:rsid w:val="00A00079"/>
    <w:rsid w:val="00A00C43"/>
    <w:rsid w:val="00A04D7F"/>
    <w:rsid w:val="00A14676"/>
    <w:rsid w:val="00A16084"/>
    <w:rsid w:val="00A1719A"/>
    <w:rsid w:val="00A20556"/>
    <w:rsid w:val="00A26197"/>
    <w:rsid w:val="00A277A6"/>
    <w:rsid w:val="00A3011E"/>
    <w:rsid w:val="00A3318D"/>
    <w:rsid w:val="00A376AC"/>
    <w:rsid w:val="00A4137A"/>
    <w:rsid w:val="00A430FE"/>
    <w:rsid w:val="00A433A5"/>
    <w:rsid w:val="00A43604"/>
    <w:rsid w:val="00A44C1C"/>
    <w:rsid w:val="00A45619"/>
    <w:rsid w:val="00A540A6"/>
    <w:rsid w:val="00A5743E"/>
    <w:rsid w:val="00A60C96"/>
    <w:rsid w:val="00A60F1E"/>
    <w:rsid w:val="00A63F7C"/>
    <w:rsid w:val="00A6508A"/>
    <w:rsid w:val="00A6710B"/>
    <w:rsid w:val="00A70080"/>
    <w:rsid w:val="00A70DF4"/>
    <w:rsid w:val="00A81202"/>
    <w:rsid w:val="00A842A1"/>
    <w:rsid w:val="00A85FFC"/>
    <w:rsid w:val="00A86763"/>
    <w:rsid w:val="00A93A4F"/>
    <w:rsid w:val="00A9433D"/>
    <w:rsid w:val="00A9514D"/>
    <w:rsid w:val="00A96C96"/>
    <w:rsid w:val="00AA25C3"/>
    <w:rsid w:val="00AA7BD2"/>
    <w:rsid w:val="00AB3212"/>
    <w:rsid w:val="00AB7766"/>
    <w:rsid w:val="00AC1268"/>
    <w:rsid w:val="00AC4DA7"/>
    <w:rsid w:val="00AC7812"/>
    <w:rsid w:val="00AD027E"/>
    <w:rsid w:val="00AD2CA6"/>
    <w:rsid w:val="00AD6FA7"/>
    <w:rsid w:val="00AE09CF"/>
    <w:rsid w:val="00AE1B1A"/>
    <w:rsid w:val="00AE23E4"/>
    <w:rsid w:val="00AE573B"/>
    <w:rsid w:val="00AE590B"/>
    <w:rsid w:val="00AE5DE7"/>
    <w:rsid w:val="00AE61EE"/>
    <w:rsid w:val="00AF305D"/>
    <w:rsid w:val="00AF57E0"/>
    <w:rsid w:val="00B050D7"/>
    <w:rsid w:val="00B21510"/>
    <w:rsid w:val="00B21807"/>
    <w:rsid w:val="00B22997"/>
    <w:rsid w:val="00B23FA8"/>
    <w:rsid w:val="00B24414"/>
    <w:rsid w:val="00B24FA1"/>
    <w:rsid w:val="00B25087"/>
    <w:rsid w:val="00B27238"/>
    <w:rsid w:val="00B30EFD"/>
    <w:rsid w:val="00B411B6"/>
    <w:rsid w:val="00B42CA2"/>
    <w:rsid w:val="00B444FC"/>
    <w:rsid w:val="00B44528"/>
    <w:rsid w:val="00B44873"/>
    <w:rsid w:val="00B47BDE"/>
    <w:rsid w:val="00B47EBD"/>
    <w:rsid w:val="00B50101"/>
    <w:rsid w:val="00B515DD"/>
    <w:rsid w:val="00B528F9"/>
    <w:rsid w:val="00B5547F"/>
    <w:rsid w:val="00B6061A"/>
    <w:rsid w:val="00B64BDF"/>
    <w:rsid w:val="00B672A5"/>
    <w:rsid w:val="00B677C2"/>
    <w:rsid w:val="00B67B9C"/>
    <w:rsid w:val="00B67E6E"/>
    <w:rsid w:val="00B76F8D"/>
    <w:rsid w:val="00B80B01"/>
    <w:rsid w:val="00B8768F"/>
    <w:rsid w:val="00B90CD5"/>
    <w:rsid w:val="00B90DC3"/>
    <w:rsid w:val="00B91329"/>
    <w:rsid w:val="00B91E5A"/>
    <w:rsid w:val="00B9319E"/>
    <w:rsid w:val="00BA3113"/>
    <w:rsid w:val="00BA32A9"/>
    <w:rsid w:val="00BA5055"/>
    <w:rsid w:val="00BB1E97"/>
    <w:rsid w:val="00BB4277"/>
    <w:rsid w:val="00BB72C3"/>
    <w:rsid w:val="00BC2ECF"/>
    <w:rsid w:val="00BC578A"/>
    <w:rsid w:val="00BC5E64"/>
    <w:rsid w:val="00BC7DA1"/>
    <w:rsid w:val="00BD2395"/>
    <w:rsid w:val="00BD312B"/>
    <w:rsid w:val="00BD53DE"/>
    <w:rsid w:val="00BD7D40"/>
    <w:rsid w:val="00BE081A"/>
    <w:rsid w:val="00BE09BD"/>
    <w:rsid w:val="00BE2BD2"/>
    <w:rsid w:val="00BE31C7"/>
    <w:rsid w:val="00BE63E5"/>
    <w:rsid w:val="00BE7AD7"/>
    <w:rsid w:val="00BF17F4"/>
    <w:rsid w:val="00BF5236"/>
    <w:rsid w:val="00BF67D7"/>
    <w:rsid w:val="00C00296"/>
    <w:rsid w:val="00C0060F"/>
    <w:rsid w:val="00C1156F"/>
    <w:rsid w:val="00C135AE"/>
    <w:rsid w:val="00C13CC7"/>
    <w:rsid w:val="00C13EB7"/>
    <w:rsid w:val="00C15886"/>
    <w:rsid w:val="00C15B5B"/>
    <w:rsid w:val="00C16BFA"/>
    <w:rsid w:val="00C274C3"/>
    <w:rsid w:val="00C3498F"/>
    <w:rsid w:val="00C40D11"/>
    <w:rsid w:val="00C40E28"/>
    <w:rsid w:val="00C413CD"/>
    <w:rsid w:val="00C4267C"/>
    <w:rsid w:val="00C426BD"/>
    <w:rsid w:val="00C47B61"/>
    <w:rsid w:val="00C50A37"/>
    <w:rsid w:val="00C50A84"/>
    <w:rsid w:val="00C52FD8"/>
    <w:rsid w:val="00C5518F"/>
    <w:rsid w:val="00C56C99"/>
    <w:rsid w:val="00C654A9"/>
    <w:rsid w:val="00C66B4B"/>
    <w:rsid w:val="00C71268"/>
    <w:rsid w:val="00C7251C"/>
    <w:rsid w:val="00C72A38"/>
    <w:rsid w:val="00C74A2C"/>
    <w:rsid w:val="00C76151"/>
    <w:rsid w:val="00C76B5A"/>
    <w:rsid w:val="00C84B32"/>
    <w:rsid w:val="00C92663"/>
    <w:rsid w:val="00C943F9"/>
    <w:rsid w:val="00C9539C"/>
    <w:rsid w:val="00C95469"/>
    <w:rsid w:val="00CA14E6"/>
    <w:rsid w:val="00CA3833"/>
    <w:rsid w:val="00CA4040"/>
    <w:rsid w:val="00CA4A2B"/>
    <w:rsid w:val="00CA66E7"/>
    <w:rsid w:val="00CA78F0"/>
    <w:rsid w:val="00CA7BF5"/>
    <w:rsid w:val="00CB0F09"/>
    <w:rsid w:val="00CC3FDE"/>
    <w:rsid w:val="00CC65C8"/>
    <w:rsid w:val="00CC66BD"/>
    <w:rsid w:val="00CC6DE6"/>
    <w:rsid w:val="00CC7541"/>
    <w:rsid w:val="00CD02D6"/>
    <w:rsid w:val="00CD1B02"/>
    <w:rsid w:val="00CD4B08"/>
    <w:rsid w:val="00CD5E13"/>
    <w:rsid w:val="00CD6165"/>
    <w:rsid w:val="00CD72BD"/>
    <w:rsid w:val="00CF1392"/>
    <w:rsid w:val="00CF3679"/>
    <w:rsid w:val="00CF6280"/>
    <w:rsid w:val="00D021E6"/>
    <w:rsid w:val="00D03FA1"/>
    <w:rsid w:val="00D04BFF"/>
    <w:rsid w:val="00D06AC7"/>
    <w:rsid w:val="00D07F05"/>
    <w:rsid w:val="00D10391"/>
    <w:rsid w:val="00D11FD0"/>
    <w:rsid w:val="00D14C3B"/>
    <w:rsid w:val="00D236EA"/>
    <w:rsid w:val="00D23D47"/>
    <w:rsid w:val="00D24F6B"/>
    <w:rsid w:val="00D27CB7"/>
    <w:rsid w:val="00D27DD8"/>
    <w:rsid w:val="00D33F47"/>
    <w:rsid w:val="00D34C57"/>
    <w:rsid w:val="00D3508D"/>
    <w:rsid w:val="00D353FC"/>
    <w:rsid w:val="00D358A3"/>
    <w:rsid w:val="00D37464"/>
    <w:rsid w:val="00D44B85"/>
    <w:rsid w:val="00D452B2"/>
    <w:rsid w:val="00D470DB"/>
    <w:rsid w:val="00D5159F"/>
    <w:rsid w:val="00D56AA0"/>
    <w:rsid w:val="00D57553"/>
    <w:rsid w:val="00D57FCB"/>
    <w:rsid w:val="00D62D7F"/>
    <w:rsid w:val="00D700C5"/>
    <w:rsid w:val="00D7231F"/>
    <w:rsid w:val="00D72A67"/>
    <w:rsid w:val="00D749AD"/>
    <w:rsid w:val="00D80A8A"/>
    <w:rsid w:val="00D810D7"/>
    <w:rsid w:val="00D94679"/>
    <w:rsid w:val="00DA0537"/>
    <w:rsid w:val="00DA2874"/>
    <w:rsid w:val="00DA2927"/>
    <w:rsid w:val="00DA3EFC"/>
    <w:rsid w:val="00DA7332"/>
    <w:rsid w:val="00DB64E0"/>
    <w:rsid w:val="00DC0633"/>
    <w:rsid w:val="00DC37A9"/>
    <w:rsid w:val="00DC407E"/>
    <w:rsid w:val="00DC44FB"/>
    <w:rsid w:val="00DC45FE"/>
    <w:rsid w:val="00DC531E"/>
    <w:rsid w:val="00DC54F0"/>
    <w:rsid w:val="00DC57CE"/>
    <w:rsid w:val="00DC6859"/>
    <w:rsid w:val="00DC6D9E"/>
    <w:rsid w:val="00DD0085"/>
    <w:rsid w:val="00DD3C53"/>
    <w:rsid w:val="00DD3ECE"/>
    <w:rsid w:val="00DD4C91"/>
    <w:rsid w:val="00DD6108"/>
    <w:rsid w:val="00DD763C"/>
    <w:rsid w:val="00DD7E1E"/>
    <w:rsid w:val="00DE46A1"/>
    <w:rsid w:val="00DE6824"/>
    <w:rsid w:val="00DE6F8B"/>
    <w:rsid w:val="00DF0E6A"/>
    <w:rsid w:val="00DF23BB"/>
    <w:rsid w:val="00DF5A77"/>
    <w:rsid w:val="00DF6E74"/>
    <w:rsid w:val="00E0008C"/>
    <w:rsid w:val="00E00D7C"/>
    <w:rsid w:val="00E053AE"/>
    <w:rsid w:val="00E05BC1"/>
    <w:rsid w:val="00E06267"/>
    <w:rsid w:val="00E07DA5"/>
    <w:rsid w:val="00E12D03"/>
    <w:rsid w:val="00E17D10"/>
    <w:rsid w:val="00E2054A"/>
    <w:rsid w:val="00E244B4"/>
    <w:rsid w:val="00E257C0"/>
    <w:rsid w:val="00E270A8"/>
    <w:rsid w:val="00E27170"/>
    <w:rsid w:val="00E27A61"/>
    <w:rsid w:val="00E315E2"/>
    <w:rsid w:val="00E35810"/>
    <w:rsid w:val="00E35A13"/>
    <w:rsid w:val="00E41537"/>
    <w:rsid w:val="00E4632A"/>
    <w:rsid w:val="00E507E5"/>
    <w:rsid w:val="00E530B9"/>
    <w:rsid w:val="00E549E0"/>
    <w:rsid w:val="00E56CB3"/>
    <w:rsid w:val="00E600C1"/>
    <w:rsid w:val="00E60394"/>
    <w:rsid w:val="00E6065E"/>
    <w:rsid w:val="00E6512D"/>
    <w:rsid w:val="00E662AB"/>
    <w:rsid w:val="00E7161F"/>
    <w:rsid w:val="00E7247D"/>
    <w:rsid w:val="00E72FB6"/>
    <w:rsid w:val="00E77E85"/>
    <w:rsid w:val="00E811E1"/>
    <w:rsid w:val="00E812E2"/>
    <w:rsid w:val="00E84F2F"/>
    <w:rsid w:val="00E86339"/>
    <w:rsid w:val="00E9093B"/>
    <w:rsid w:val="00E92009"/>
    <w:rsid w:val="00E92CBC"/>
    <w:rsid w:val="00E96697"/>
    <w:rsid w:val="00EA15F8"/>
    <w:rsid w:val="00EA29C7"/>
    <w:rsid w:val="00EA3C8D"/>
    <w:rsid w:val="00EA48D1"/>
    <w:rsid w:val="00EA5835"/>
    <w:rsid w:val="00EA5F06"/>
    <w:rsid w:val="00EA60CF"/>
    <w:rsid w:val="00EA631F"/>
    <w:rsid w:val="00EA6CDE"/>
    <w:rsid w:val="00EB32D8"/>
    <w:rsid w:val="00EB48FF"/>
    <w:rsid w:val="00EB54C1"/>
    <w:rsid w:val="00EB77D3"/>
    <w:rsid w:val="00EC01CE"/>
    <w:rsid w:val="00EC3A10"/>
    <w:rsid w:val="00EC427E"/>
    <w:rsid w:val="00EC5D8F"/>
    <w:rsid w:val="00EC78FB"/>
    <w:rsid w:val="00ED3D48"/>
    <w:rsid w:val="00ED73DA"/>
    <w:rsid w:val="00ED7F71"/>
    <w:rsid w:val="00EE03DA"/>
    <w:rsid w:val="00EE5A77"/>
    <w:rsid w:val="00EF2266"/>
    <w:rsid w:val="00EF55FE"/>
    <w:rsid w:val="00F051D7"/>
    <w:rsid w:val="00F101F9"/>
    <w:rsid w:val="00F12934"/>
    <w:rsid w:val="00F12BFE"/>
    <w:rsid w:val="00F1304B"/>
    <w:rsid w:val="00F13549"/>
    <w:rsid w:val="00F141F0"/>
    <w:rsid w:val="00F16797"/>
    <w:rsid w:val="00F212A0"/>
    <w:rsid w:val="00F21A6D"/>
    <w:rsid w:val="00F22364"/>
    <w:rsid w:val="00F23CA6"/>
    <w:rsid w:val="00F25E0E"/>
    <w:rsid w:val="00F27552"/>
    <w:rsid w:val="00F32346"/>
    <w:rsid w:val="00F32450"/>
    <w:rsid w:val="00F325CC"/>
    <w:rsid w:val="00F52A8C"/>
    <w:rsid w:val="00F53C92"/>
    <w:rsid w:val="00F56DC5"/>
    <w:rsid w:val="00F57DA3"/>
    <w:rsid w:val="00F57E41"/>
    <w:rsid w:val="00F60519"/>
    <w:rsid w:val="00F60659"/>
    <w:rsid w:val="00F62257"/>
    <w:rsid w:val="00F6319A"/>
    <w:rsid w:val="00F65696"/>
    <w:rsid w:val="00F6583C"/>
    <w:rsid w:val="00F65BB3"/>
    <w:rsid w:val="00F6601C"/>
    <w:rsid w:val="00F73E87"/>
    <w:rsid w:val="00F7572D"/>
    <w:rsid w:val="00F75A2E"/>
    <w:rsid w:val="00F7699C"/>
    <w:rsid w:val="00F81F2F"/>
    <w:rsid w:val="00F8204F"/>
    <w:rsid w:val="00F91A13"/>
    <w:rsid w:val="00F94228"/>
    <w:rsid w:val="00F94FA9"/>
    <w:rsid w:val="00F95D32"/>
    <w:rsid w:val="00FA6963"/>
    <w:rsid w:val="00FA7C76"/>
    <w:rsid w:val="00FB4003"/>
    <w:rsid w:val="00FB4B04"/>
    <w:rsid w:val="00FC42C0"/>
    <w:rsid w:val="00FD4D6B"/>
    <w:rsid w:val="00FD6216"/>
    <w:rsid w:val="00FD7105"/>
    <w:rsid w:val="00FE081F"/>
    <w:rsid w:val="00FE0E05"/>
    <w:rsid w:val="00FE18BF"/>
    <w:rsid w:val="00FE7C7F"/>
    <w:rsid w:val="00FF0079"/>
    <w:rsid w:val="00FF2266"/>
    <w:rsid w:val="00FF4531"/>
    <w:rsid w:val="05DB1F5F"/>
    <w:rsid w:val="1AD76D51"/>
    <w:rsid w:val="20F71E10"/>
    <w:rsid w:val="2A446B23"/>
    <w:rsid w:val="31663F18"/>
    <w:rsid w:val="339C1620"/>
    <w:rsid w:val="40D53B73"/>
    <w:rsid w:val="58E97A81"/>
    <w:rsid w:val="5D9A4DB3"/>
    <w:rsid w:val="76786E95"/>
    <w:rsid w:val="767A306F"/>
    <w:rsid w:val="77217DF1"/>
    <w:rsid w:val="786F68D9"/>
    <w:rsid w:val="79A0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jc w:val="right"/>
      <w:outlineLvl w:val="0"/>
    </w:pPr>
    <w:rPr>
      <w:i/>
    </w:rPr>
  </w:style>
  <w:style w:type="paragraph" w:styleId="3">
    <w:name w:val="heading 2"/>
    <w:basedOn w:val="1"/>
    <w:next w:val="1"/>
    <w:link w:val="26"/>
    <w:qFormat/>
    <w:uiPriority w:val="0"/>
    <w:pPr>
      <w:keepNext/>
      <w:tabs>
        <w:tab w:val="right" w:pos="8100"/>
      </w:tabs>
      <w:outlineLvl w:val="1"/>
    </w:pPr>
    <w:rPr>
      <w:sz w:val="28"/>
    </w:rPr>
  </w:style>
  <w:style w:type="paragraph" w:styleId="4">
    <w:name w:val="heading 3"/>
    <w:basedOn w:val="1"/>
    <w:next w:val="1"/>
    <w:qFormat/>
    <w:uiPriority w:val="0"/>
    <w:pPr>
      <w:keepNext/>
      <w:ind w:left="-108" w:firstLine="108"/>
      <w:outlineLvl w:val="2"/>
    </w:pPr>
    <w:rPr>
      <w:sz w:val="28"/>
    </w:rPr>
  </w:style>
  <w:style w:type="paragraph" w:styleId="5">
    <w:name w:val="heading 4"/>
    <w:basedOn w:val="1"/>
    <w:next w:val="1"/>
    <w:qFormat/>
    <w:uiPriority w:val="0"/>
    <w:pPr>
      <w:keepNext/>
      <w:jc w:val="center"/>
      <w:outlineLvl w:val="3"/>
    </w:pPr>
    <w:rPr>
      <w:b/>
      <w:sz w:val="28"/>
    </w:rPr>
  </w:style>
  <w:style w:type="paragraph" w:styleId="6">
    <w:name w:val="heading 5"/>
    <w:basedOn w:val="1"/>
    <w:next w:val="1"/>
    <w:qFormat/>
    <w:uiPriority w:val="0"/>
    <w:pPr>
      <w:keepNext/>
      <w:jc w:val="center"/>
      <w:outlineLvl w:val="4"/>
    </w:pPr>
    <w:rPr>
      <w:b/>
      <w:sz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9"/>
    <w:qFormat/>
    <w:uiPriority w:val="99"/>
    <w:rPr>
      <w:rFonts w:ascii="Tahoma" w:hAnsi="Tahoma" w:cs="Tahoma"/>
      <w:sz w:val="16"/>
      <w:szCs w:val="16"/>
    </w:rPr>
  </w:style>
  <w:style w:type="paragraph" w:styleId="10">
    <w:name w:val="Body Text"/>
    <w:basedOn w:val="1"/>
    <w:qFormat/>
    <w:uiPriority w:val="0"/>
    <w:pPr>
      <w:jc w:val="both"/>
    </w:pPr>
    <w:rPr>
      <w:sz w:val="28"/>
    </w:rPr>
  </w:style>
  <w:style w:type="paragraph" w:styleId="11">
    <w:name w:val="Body Text 2"/>
    <w:basedOn w:val="1"/>
    <w:qFormat/>
    <w:uiPriority w:val="0"/>
    <w:pPr>
      <w:spacing w:after="120" w:line="480" w:lineRule="auto"/>
    </w:pPr>
  </w:style>
  <w:style w:type="paragraph" w:styleId="12">
    <w:name w:val="Body Text Indent"/>
    <w:basedOn w:val="1"/>
    <w:link w:val="25"/>
    <w:qFormat/>
    <w:uiPriority w:val="0"/>
    <w:pPr>
      <w:ind w:firstLine="720"/>
      <w:jc w:val="both"/>
    </w:pPr>
    <w:rPr>
      <w:sz w:val="28"/>
      <w:lang w:val="zh-CN" w:eastAsia="zh-CN"/>
    </w:rPr>
  </w:style>
  <w:style w:type="character" w:styleId="13">
    <w:name w:val="annotation reference"/>
    <w:qFormat/>
    <w:uiPriority w:val="0"/>
    <w:rPr>
      <w:sz w:val="16"/>
      <w:szCs w:val="16"/>
    </w:rPr>
  </w:style>
  <w:style w:type="paragraph" w:styleId="14">
    <w:name w:val="annotation text"/>
    <w:basedOn w:val="1"/>
    <w:link w:val="30"/>
    <w:qFormat/>
    <w:uiPriority w:val="0"/>
  </w:style>
  <w:style w:type="paragraph" w:styleId="15">
    <w:name w:val="annotation subject"/>
    <w:basedOn w:val="14"/>
    <w:next w:val="14"/>
    <w:link w:val="31"/>
    <w:semiHidden/>
    <w:unhideWhenUsed/>
    <w:qFormat/>
    <w:uiPriority w:val="99"/>
    <w:pPr>
      <w:suppressAutoHyphens/>
      <w:autoSpaceDN w:val="0"/>
      <w:textAlignment w:val="baseline"/>
    </w:pPr>
    <w:rPr>
      <w:b/>
      <w:bCs/>
    </w:rPr>
  </w:style>
  <w:style w:type="paragraph" w:styleId="16">
    <w:name w:val="footer"/>
    <w:basedOn w:val="1"/>
    <w:link w:val="27"/>
    <w:qFormat/>
    <w:uiPriority w:val="99"/>
    <w:pPr>
      <w:tabs>
        <w:tab w:val="center" w:pos="4320"/>
        <w:tab w:val="right" w:pos="8640"/>
      </w:tabs>
    </w:pPr>
  </w:style>
  <w:style w:type="paragraph" w:styleId="17">
    <w:name w:val="header"/>
    <w:basedOn w:val="1"/>
    <w:link w:val="33"/>
    <w:qFormat/>
    <w:uiPriority w:val="99"/>
    <w:pPr>
      <w:tabs>
        <w:tab w:val="center" w:pos="4320"/>
        <w:tab w:val="right" w:pos="8640"/>
      </w:tabs>
    </w:pPr>
  </w:style>
  <w:style w:type="character" w:styleId="18">
    <w:name w:val="Hyperlink"/>
    <w:semiHidden/>
    <w:unhideWhenUsed/>
    <w:qFormat/>
    <w:uiPriority w:val="99"/>
    <w:rPr>
      <w:color w:val="0000FF"/>
      <w:u w:val="single"/>
    </w:rPr>
  </w:style>
  <w:style w:type="paragraph" w:styleId="19">
    <w:name w:val="Normal (Web)"/>
    <w:basedOn w:val="1"/>
    <w:link w:val="32"/>
    <w:qFormat/>
    <w:uiPriority w:val="99"/>
    <w:pPr>
      <w:spacing w:before="100" w:after="100"/>
    </w:pPr>
    <w:rPr>
      <w:sz w:val="24"/>
      <w:szCs w:val="24"/>
    </w:rPr>
  </w:style>
  <w:style w:type="character" w:styleId="20">
    <w:name w:val="page number"/>
    <w:basedOn w:val="7"/>
    <w:qFormat/>
    <w:uiPriority w:val="0"/>
  </w:style>
  <w:style w:type="paragraph" w:customStyle="1" w:styleId="21">
    <w:name w:val="Char"/>
    <w:basedOn w:val="1"/>
    <w:qFormat/>
    <w:uiPriority w:val="0"/>
    <w:pPr>
      <w:spacing w:after="160" w:line="240" w:lineRule="exact"/>
    </w:pPr>
    <w:rPr>
      <w:rFonts w:ascii="Verdana" w:hAnsi="Verdana" w:cs="Verdana"/>
    </w:rPr>
  </w:style>
  <w:style w:type="character" w:customStyle="1" w:styleId="22">
    <w:name w:val="Body Text 2 Char"/>
    <w:basedOn w:val="7"/>
    <w:qFormat/>
    <w:uiPriority w:val="0"/>
  </w:style>
  <w:style w:type="paragraph" w:styleId="23">
    <w:name w:val="List Paragraph"/>
    <w:basedOn w:val="1"/>
    <w:qFormat/>
    <w:uiPriority w:val="0"/>
    <w:pPr>
      <w:ind w:left="720"/>
    </w:pPr>
  </w:style>
  <w:style w:type="paragraph" w:customStyle="1" w:styleId="24">
    <w:name w:val="Char Char Char Char"/>
    <w:basedOn w:val="1"/>
    <w:qFormat/>
    <w:uiPriority w:val="0"/>
    <w:pPr>
      <w:spacing w:after="160" w:line="240" w:lineRule="exact"/>
    </w:pPr>
    <w:rPr>
      <w:rFonts w:ascii="Arial" w:hAnsi="Arial"/>
      <w:sz w:val="22"/>
      <w:szCs w:val="22"/>
    </w:rPr>
  </w:style>
  <w:style w:type="character" w:customStyle="1" w:styleId="25">
    <w:name w:val="Body Text Indent Char"/>
    <w:link w:val="12"/>
    <w:qFormat/>
    <w:uiPriority w:val="0"/>
    <w:rPr>
      <w:sz w:val="28"/>
    </w:rPr>
  </w:style>
  <w:style w:type="character" w:customStyle="1" w:styleId="26">
    <w:name w:val="Heading 2 Char"/>
    <w:link w:val="3"/>
    <w:qFormat/>
    <w:uiPriority w:val="0"/>
    <w:rPr>
      <w:sz w:val="28"/>
    </w:rPr>
  </w:style>
  <w:style w:type="character" w:customStyle="1" w:styleId="27">
    <w:name w:val="Footer Char"/>
    <w:link w:val="16"/>
    <w:qFormat/>
    <w:uiPriority w:val="99"/>
  </w:style>
  <w:style w:type="paragraph" w:customStyle="1" w:styleId="28">
    <w:name w:val="Char Char Char1 Char"/>
    <w:basedOn w:val="1"/>
    <w:qFormat/>
    <w:uiPriority w:val="0"/>
    <w:pPr>
      <w:spacing w:after="160" w:line="240" w:lineRule="exact"/>
    </w:pPr>
    <w:rPr>
      <w:rFonts w:ascii="Verdana" w:hAnsi="Verdana" w:cs="Verdana"/>
    </w:rPr>
  </w:style>
  <w:style w:type="character" w:customStyle="1" w:styleId="29">
    <w:name w:val="Balloon Text Char"/>
    <w:link w:val="9"/>
    <w:qFormat/>
    <w:uiPriority w:val="99"/>
    <w:rPr>
      <w:rFonts w:ascii="Tahoma" w:hAnsi="Tahoma" w:cs="Tahoma"/>
      <w:sz w:val="16"/>
      <w:szCs w:val="16"/>
    </w:rPr>
  </w:style>
  <w:style w:type="character" w:customStyle="1" w:styleId="30">
    <w:name w:val="Comment Text Char"/>
    <w:basedOn w:val="7"/>
    <w:link w:val="14"/>
    <w:qFormat/>
    <w:uiPriority w:val="0"/>
  </w:style>
  <w:style w:type="character" w:customStyle="1" w:styleId="31">
    <w:name w:val="Comment Subject Char"/>
    <w:link w:val="15"/>
    <w:semiHidden/>
    <w:qFormat/>
    <w:uiPriority w:val="99"/>
    <w:rPr>
      <w:b/>
      <w:bCs/>
    </w:rPr>
  </w:style>
  <w:style w:type="character" w:customStyle="1" w:styleId="32">
    <w:name w:val="Normal (Web) Char"/>
    <w:link w:val="19"/>
    <w:qFormat/>
    <w:locked/>
    <w:uiPriority w:val="99"/>
    <w:rPr>
      <w:sz w:val="24"/>
      <w:szCs w:val="24"/>
    </w:rPr>
  </w:style>
  <w:style w:type="character" w:customStyle="1" w:styleId="33">
    <w:name w:val="Header Char"/>
    <w:basedOn w:val="7"/>
    <w:link w:val="17"/>
    <w:qFormat/>
    <w:uiPriority w:val="99"/>
  </w:style>
  <w:style w:type="character" w:customStyle="1" w:styleId="34">
    <w:name w:val="Body text (2)_"/>
    <w:basedOn w:val="7"/>
    <w:link w:val="35"/>
    <w:qFormat/>
    <w:uiPriority w:val="0"/>
    <w:rPr>
      <w:sz w:val="28"/>
      <w:szCs w:val="28"/>
      <w:shd w:val="clear" w:color="auto" w:fill="FFFFFF"/>
    </w:rPr>
  </w:style>
  <w:style w:type="paragraph" w:customStyle="1" w:styleId="35">
    <w:name w:val="Body text (2)"/>
    <w:basedOn w:val="1"/>
    <w:link w:val="34"/>
    <w:qFormat/>
    <w:uiPriority w:val="0"/>
    <w:pPr>
      <w:widowControl w:val="0"/>
      <w:shd w:val="clear" w:color="auto" w:fill="FFFFFF"/>
      <w:spacing w:before="120" w:line="0" w:lineRule="atLeast"/>
      <w:jc w:val="right"/>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E21B7-7CDD-4AFE-9EB9-98A23BB0B643}">
  <ds:schemaRefs/>
</ds:datastoreItem>
</file>

<file path=docProps/app.xml><?xml version="1.0" encoding="utf-8"?>
<Properties xmlns="http://schemas.openxmlformats.org/officeDocument/2006/extended-properties" xmlns:vt="http://schemas.openxmlformats.org/officeDocument/2006/docPropsVTypes">
  <Template>Normal</Template>
  <Pages>3</Pages>
  <Words>1259</Words>
  <Characters>7179</Characters>
  <Lines>59</Lines>
  <Paragraphs>16</Paragraphs>
  <TotalTime>0</TotalTime>
  <ScaleCrop>false</ScaleCrop>
  <LinksUpToDate>false</LinksUpToDate>
  <CharactersWithSpaces>8422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2024-02-22T09:21:00Z</dcterms:created>
  <dc:creator>TRUNG</dc:creator>
  <cp:lastModifiedBy>Mai Kieu</cp:lastModifiedBy>
  <cp:lastPrinted>2020-12-07T03:37:00Z</cp:lastPrinted>
  <dcterms:modified xsi:type="dcterms:W3CDTF">2024-08-09T03:24:56Z</dcterms:modified>
  <dc:title>Ủy Ban Nhân Dân Tỉnh  Đồng Tháp</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52B1354C38D24DC49EEB0EF03DBE78D9_12</vt:lpwstr>
  </property>
</Properties>
</file>