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76BB" w14:textId="5A457ECE" w:rsidR="00C94BF4" w:rsidRPr="0073060A" w:rsidRDefault="00C94BF4" w:rsidP="00023D59">
      <w:pPr>
        <w:widowControl w:val="0"/>
        <w:tabs>
          <w:tab w:val="right" w:leader="dot" w:pos="8640"/>
        </w:tabs>
        <w:jc w:val="center"/>
        <w:rPr>
          <w:rFonts w:eastAsia="Courier New"/>
          <w:b/>
          <w:sz w:val="26"/>
          <w:szCs w:val="26"/>
          <w:lang w:eastAsia="vi-VN"/>
        </w:rPr>
      </w:pPr>
      <w:r w:rsidRPr="0073060A">
        <w:rPr>
          <w:rFonts w:eastAsia="Courier New"/>
          <w:b/>
          <w:sz w:val="26"/>
          <w:szCs w:val="26"/>
          <w:lang w:eastAsia="vi-VN"/>
        </w:rPr>
        <w:t>Phụ lục</w:t>
      </w:r>
    </w:p>
    <w:p w14:paraId="397600DA" w14:textId="371E8BDD" w:rsidR="00023D59" w:rsidRDefault="00023D59" w:rsidP="00580119">
      <w:pPr>
        <w:widowControl w:val="0"/>
        <w:tabs>
          <w:tab w:val="right" w:leader="dot" w:pos="8640"/>
        </w:tabs>
        <w:jc w:val="center"/>
        <w:rPr>
          <w:rFonts w:eastAsia="Courier New"/>
          <w:b/>
          <w:sz w:val="26"/>
          <w:szCs w:val="26"/>
          <w:lang w:eastAsia="vi-VN"/>
        </w:rPr>
      </w:pPr>
      <w:bookmarkStart w:id="0" w:name="loai_46_name_name"/>
      <w:r>
        <w:rPr>
          <w:rFonts w:eastAsia="Courier New"/>
          <w:b/>
          <w:noProof/>
          <w:sz w:val="26"/>
          <w:szCs w:val="26"/>
          <w:lang w:eastAsia="vi-VN"/>
        </w:rPr>
        <mc:AlternateContent>
          <mc:Choice Requires="wps">
            <w:drawing>
              <wp:anchor distT="0" distB="0" distL="114300" distR="114300" simplePos="0" relativeHeight="251658752" behindDoc="0" locked="0" layoutInCell="1" allowOverlap="1" wp14:anchorId="341FC672" wp14:editId="32BF23DE">
                <wp:simplePos x="0" y="0"/>
                <wp:positionH relativeFrom="column">
                  <wp:posOffset>209550</wp:posOffset>
                </wp:positionH>
                <wp:positionV relativeFrom="paragraph">
                  <wp:posOffset>8890</wp:posOffset>
                </wp:positionV>
                <wp:extent cx="892175" cy="260985"/>
                <wp:effectExtent l="0" t="0" r="22225" b="24765"/>
                <wp:wrapNone/>
                <wp:docPr id="878129145" name="Rectangle 1"/>
                <wp:cNvGraphicFramePr/>
                <a:graphic xmlns:a="http://schemas.openxmlformats.org/drawingml/2006/main">
                  <a:graphicData uri="http://schemas.microsoft.com/office/word/2010/wordprocessingShape">
                    <wps:wsp>
                      <wps:cNvSpPr/>
                      <wps:spPr>
                        <a:xfrm>
                          <a:off x="0" y="0"/>
                          <a:ext cx="892175" cy="2609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4F8889" w14:textId="2F5A5FDB" w:rsidR="00E44B52" w:rsidRPr="00E44B52" w:rsidRDefault="00E44B52" w:rsidP="00E44B52">
                            <w:pPr>
                              <w:jc w:val="center"/>
                              <w:rPr>
                                <w:sz w:val="20"/>
                                <w:szCs w:val="20"/>
                              </w:rPr>
                            </w:pPr>
                            <w:r w:rsidRPr="00E44B52">
                              <w:rPr>
                                <w:sz w:val="20"/>
                                <w:szCs w:val="2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C672" id="Rectangle 1" o:spid="_x0000_s1026" style="position:absolute;left:0;text-align:left;margin-left:16.5pt;margin-top:.7pt;width:70.25pt;height:20.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" fillcolor="white [3201]" strokecolor="black [3213]" strokeweight="1pt">
                <v:textbox>
                  <w:txbxContent>
                    <w:p w14:paraId="0C4F8889" w14:textId="2F5A5FDB" w:rsidR="00E44B52" w:rsidRPr="00E44B52" w:rsidRDefault="00E44B52" w:rsidP="00E44B52">
                      <w:pPr>
                        <w:jc w:val="center"/>
                        <w:rPr>
                          <w:sz w:val="20"/>
                          <w:szCs w:val="20"/>
                        </w:rPr>
                      </w:pPr>
                      <w:r w:rsidRPr="00E44B52">
                        <w:rPr>
                          <w:sz w:val="20"/>
                          <w:szCs w:val="20"/>
                        </w:rPr>
                        <w:t>DỰ THẢO</w:t>
                      </w:r>
                    </w:p>
                  </w:txbxContent>
                </v:textbox>
              </v:rect>
            </w:pict>
          </mc:Fallback>
        </mc:AlternateContent>
      </w:r>
      <w:r>
        <w:rPr>
          <w:rFonts w:eastAsia="Courier New"/>
          <w:b/>
          <w:sz w:val="26"/>
          <w:szCs w:val="26"/>
          <w:lang w:eastAsia="vi-VN"/>
        </w:rPr>
        <w:t xml:space="preserve">Danh mục </w:t>
      </w:r>
      <w:r w:rsidR="00895239" w:rsidRPr="0073060A">
        <w:rPr>
          <w:rFonts w:eastAsia="Courier New"/>
          <w:b/>
          <w:sz w:val="26"/>
          <w:szCs w:val="26"/>
          <w:lang w:eastAsia="vi-VN"/>
        </w:rPr>
        <w:t>N</w:t>
      </w:r>
      <w:r w:rsidR="00C94BF4" w:rsidRPr="0073060A">
        <w:rPr>
          <w:rFonts w:eastAsia="Courier New"/>
          <w:b/>
          <w:sz w:val="26"/>
          <w:szCs w:val="26"/>
          <w:lang w:eastAsia="vi-VN"/>
        </w:rPr>
        <w:t xml:space="preserve">ghị quyết </w:t>
      </w:r>
      <w:r w:rsidR="00646172">
        <w:rPr>
          <w:rFonts w:eastAsia="Courier New"/>
          <w:b/>
          <w:sz w:val="26"/>
          <w:szCs w:val="26"/>
          <w:lang w:eastAsia="vi-VN"/>
        </w:rPr>
        <w:t>quy phạm pháp luật do</w:t>
      </w:r>
      <w:r w:rsidR="00580119" w:rsidRPr="0073060A">
        <w:rPr>
          <w:rFonts w:eastAsia="Courier New"/>
          <w:b/>
          <w:sz w:val="26"/>
          <w:szCs w:val="26"/>
          <w:lang w:eastAsia="vi-VN"/>
        </w:rPr>
        <w:t xml:space="preserve"> </w:t>
      </w:r>
      <w:r w:rsidR="00C94BF4" w:rsidRPr="0073060A">
        <w:rPr>
          <w:rFonts w:eastAsia="Courier New"/>
          <w:b/>
          <w:sz w:val="26"/>
          <w:szCs w:val="26"/>
          <w:lang w:eastAsia="vi-VN"/>
        </w:rPr>
        <w:t>Hội đồng nhân dân tỉ</w:t>
      </w:r>
      <w:r w:rsidR="00580119" w:rsidRPr="0073060A">
        <w:rPr>
          <w:rFonts w:eastAsia="Courier New"/>
          <w:b/>
          <w:sz w:val="26"/>
          <w:szCs w:val="26"/>
          <w:lang w:eastAsia="vi-VN"/>
        </w:rPr>
        <w:t>nh</w:t>
      </w:r>
      <w:r>
        <w:rPr>
          <w:rFonts w:eastAsia="Courier New"/>
          <w:b/>
          <w:sz w:val="26"/>
          <w:szCs w:val="26"/>
          <w:lang w:eastAsia="vi-VN"/>
        </w:rPr>
        <w:t xml:space="preserve"> ban hành</w:t>
      </w:r>
      <w:r w:rsidR="00580119" w:rsidRPr="0073060A">
        <w:rPr>
          <w:rFonts w:eastAsia="Courier New"/>
          <w:b/>
          <w:sz w:val="26"/>
          <w:szCs w:val="26"/>
          <w:lang w:eastAsia="vi-VN"/>
        </w:rPr>
        <w:t xml:space="preserve"> </w:t>
      </w:r>
    </w:p>
    <w:p w14:paraId="5045C7E3" w14:textId="65EFBEC2" w:rsidR="00C94BF4" w:rsidRPr="0073060A" w:rsidRDefault="00C94BF4" w:rsidP="00580119">
      <w:pPr>
        <w:widowControl w:val="0"/>
        <w:tabs>
          <w:tab w:val="right" w:leader="dot" w:pos="8640"/>
        </w:tabs>
        <w:jc w:val="center"/>
        <w:rPr>
          <w:rFonts w:eastAsia="Courier New"/>
          <w:b/>
          <w:sz w:val="26"/>
          <w:szCs w:val="26"/>
          <w:lang w:eastAsia="vi-VN"/>
        </w:rPr>
      </w:pPr>
      <w:r w:rsidRPr="0073060A">
        <w:rPr>
          <w:rFonts w:eastAsia="Courier New"/>
          <w:b/>
          <w:sz w:val="26"/>
          <w:szCs w:val="26"/>
          <w:lang w:eastAsia="vi-VN"/>
        </w:rPr>
        <w:t xml:space="preserve">thuộc lĩnh vực </w:t>
      </w:r>
      <w:r w:rsidR="0038238C" w:rsidRPr="0073060A">
        <w:rPr>
          <w:rFonts w:eastAsia="Courier New"/>
          <w:b/>
          <w:sz w:val="26"/>
          <w:szCs w:val="26"/>
          <w:lang w:eastAsia="vi-VN"/>
        </w:rPr>
        <w:t>tài chính</w:t>
      </w:r>
      <w:r w:rsidR="00646172">
        <w:rPr>
          <w:rFonts w:eastAsia="Courier New"/>
          <w:b/>
          <w:sz w:val="26"/>
          <w:szCs w:val="26"/>
          <w:lang w:eastAsia="vi-VN"/>
        </w:rPr>
        <w:t xml:space="preserve"> đề nghị bãi bỏ</w:t>
      </w:r>
    </w:p>
    <w:bookmarkEnd w:id="0"/>
    <w:p w14:paraId="20123525" w14:textId="620F01FA" w:rsidR="00C94BF4" w:rsidRPr="0073060A" w:rsidRDefault="00023D59" w:rsidP="00023D59">
      <w:pPr>
        <w:widowControl w:val="0"/>
        <w:spacing w:after="120"/>
        <w:jc w:val="center"/>
        <w:rPr>
          <w:rFonts w:eastAsia="Courier New"/>
          <w:i/>
          <w:sz w:val="26"/>
          <w:szCs w:val="26"/>
          <w:lang w:eastAsia="vi-VN"/>
        </w:rPr>
      </w:pPr>
      <w:r w:rsidRPr="00FC226C">
        <w:rPr>
          <w:rFonts w:eastAsia="Courier New"/>
          <w:i/>
          <w:noProof/>
          <w:sz w:val="24"/>
          <w:szCs w:val="24"/>
        </w:rPr>
        <mc:AlternateContent>
          <mc:Choice Requires="wps">
            <w:drawing>
              <wp:anchor distT="0" distB="0" distL="114300" distR="114300" simplePos="0" relativeHeight="251656704" behindDoc="0" locked="0" layoutInCell="1" allowOverlap="1" wp14:anchorId="68E6D5EA" wp14:editId="1FE4964F">
                <wp:simplePos x="0" y="0"/>
                <wp:positionH relativeFrom="column">
                  <wp:posOffset>3771265</wp:posOffset>
                </wp:positionH>
                <wp:positionV relativeFrom="paragraph">
                  <wp:posOffset>223667</wp:posOffset>
                </wp:positionV>
                <wp:extent cx="15900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E22A9" id="_x0000_t32" coordsize="21600,21600" o:spt="32" o:oned="t" path="m,l21600,21600e" filled="f">
                <v:path arrowok="t" fillok="f" o:connecttype="none"/>
                <o:lock v:ext="edit" shapetype="t"/>
              </v:shapetype>
              <v:shape id="Straight Arrow Connector 1" o:spid="_x0000_s1026" type="#_x0000_t32" style="position:absolute;margin-left:296.95pt;margin-top:17.6pt;width:1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L7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"/>
            </w:pict>
          </mc:Fallback>
        </mc:AlternateContent>
      </w:r>
      <w:r w:rsidR="00C94BF4" w:rsidRPr="0073060A">
        <w:rPr>
          <w:rFonts w:eastAsia="Courier New"/>
          <w:i/>
          <w:sz w:val="26"/>
          <w:szCs w:val="26"/>
          <w:lang w:eastAsia="vi-VN"/>
        </w:rPr>
        <w:t xml:space="preserve"> (Ban hành kèm theo Tờ trình số</w:t>
      </w:r>
      <w:r w:rsidR="00BD01A5">
        <w:rPr>
          <w:rFonts w:eastAsia="Courier New"/>
          <w:i/>
          <w:sz w:val="26"/>
          <w:szCs w:val="26"/>
          <w:lang w:eastAsia="vi-VN"/>
        </w:rPr>
        <w:t xml:space="preserve"> </w:t>
      </w:r>
      <w:r w:rsidR="00646172">
        <w:rPr>
          <w:rFonts w:eastAsia="Courier New"/>
          <w:i/>
          <w:sz w:val="26"/>
          <w:szCs w:val="26"/>
          <w:lang w:eastAsia="vi-VN"/>
        </w:rPr>
        <w:t xml:space="preserve">       </w:t>
      </w:r>
      <w:r w:rsidR="00C94BF4" w:rsidRPr="0073060A">
        <w:rPr>
          <w:rFonts w:eastAsia="Courier New"/>
          <w:i/>
          <w:sz w:val="26"/>
          <w:szCs w:val="26"/>
          <w:lang w:eastAsia="vi-VN"/>
        </w:rPr>
        <w:t>/TTr</w:t>
      </w:r>
      <w:r w:rsidR="00B13DFF" w:rsidRPr="0073060A">
        <w:rPr>
          <w:rFonts w:eastAsia="Courier New"/>
          <w:i/>
          <w:sz w:val="26"/>
          <w:szCs w:val="26"/>
          <w:lang w:eastAsia="vi-VN"/>
        </w:rPr>
        <w:t>-</w:t>
      </w:r>
      <w:r w:rsidR="007265DF">
        <w:rPr>
          <w:rFonts w:eastAsia="Courier New"/>
          <w:i/>
          <w:sz w:val="26"/>
          <w:szCs w:val="26"/>
          <w:lang w:eastAsia="vi-VN"/>
        </w:rPr>
        <w:t xml:space="preserve">UBND </w:t>
      </w:r>
      <w:r w:rsidR="00C42CF8" w:rsidRPr="0073060A">
        <w:rPr>
          <w:rFonts w:eastAsia="Courier New"/>
          <w:i/>
          <w:sz w:val="26"/>
          <w:szCs w:val="26"/>
          <w:lang w:eastAsia="vi-VN"/>
        </w:rPr>
        <w:t xml:space="preserve">ngày </w:t>
      </w:r>
      <w:r w:rsidR="00646172">
        <w:rPr>
          <w:rFonts w:eastAsia="Courier New"/>
          <w:i/>
          <w:sz w:val="26"/>
          <w:szCs w:val="26"/>
          <w:lang w:eastAsia="vi-VN"/>
        </w:rPr>
        <w:t xml:space="preserve">    </w:t>
      </w:r>
      <w:r w:rsidR="00C94BF4" w:rsidRPr="0073060A">
        <w:rPr>
          <w:rFonts w:eastAsia="Courier New"/>
          <w:i/>
          <w:sz w:val="26"/>
          <w:szCs w:val="26"/>
          <w:lang w:eastAsia="vi-VN"/>
        </w:rPr>
        <w:t xml:space="preserve">tháng </w:t>
      </w:r>
      <w:r w:rsidR="007265DF">
        <w:rPr>
          <w:rFonts w:eastAsia="Courier New"/>
          <w:i/>
          <w:sz w:val="26"/>
          <w:szCs w:val="26"/>
          <w:lang w:eastAsia="vi-VN"/>
        </w:rPr>
        <w:t xml:space="preserve">  </w:t>
      </w:r>
      <w:r w:rsidR="00C42CF8" w:rsidRPr="0073060A">
        <w:rPr>
          <w:rFonts w:eastAsia="Courier New"/>
          <w:i/>
          <w:sz w:val="26"/>
          <w:szCs w:val="26"/>
          <w:lang w:eastAsia="vi-VN"/>
        </w:rPr>
        <w:t xml:space="preserve"> </w:t>
      </w:r>
      <w:r w:rsidR="00C94BF4" w:rsidRPr="0073060A">
        <w:rPr>
          <w:rFonts w:eastAsia="Courier New"/>
          <w:i/>
          <w:sz w:val="26"/>
          <w:szCs w:val="26"/>
          <w:lang w:eastAsia="vi-VN"/>
        </w:rPr>
        <w:t>năm 202</w:t>
      </w:r>
      <w:r w:rsidR="00BD01A5">
        <w:rPr>
          <w:rFonts w:eastAsia="Courier New"/>
          <w:i/>
          <w:sz w:val="26"/>
          <w:szCs w:val="26"/>
          <w:lang w:eastAsia="vi-VN"/>
        </w:rPr>
        <w:t>4</w:t>
      </w:r>
      <w:r w:rsidR="00C94BF4" w:rsidRPr="0073060A">
        <w:rPr>
          <w:rFonts w:eastAsia="Courier New"/>
          <w:i/>
          <w:sz w:val="26"/>
          <w:szCs w:val="26"/>
          <w:lang w:eastAsia="vi-VN"/>
        </w:rPr>
        <w:t xml:space="preserve"> của</w:t>
      </w:r>
      <w:r w:rsidR="00C1348C" w:rsidRPr="0073060A">
        <w:rPr>
          <w:rFonts w:eastAsia="Courier New"/>
          <w:i/>
          <w:sz w:val="26"/>
          <w:szCs w:val="26"/>
          <w:lang w:eastAsia="vi-VN"/>
        </w:rPr>
        <w:t xml:space="preserve"> </w:t>
      </w:r>
      <w:r w:rsidR="007265DF">
        <w:rPr>
          <w:rFonts w:eastAsia="Courier New"/>
          <w:i/>
          <w:sz w:val="26"/>
          <w:szCs w:val="26"/>
          <w:lang w:eastAsia="vi-VN"/>
        </w:rPr>
        <w:t>Ủy ban nhân dân tỉnh</w:t>
      </w:r>
      <w:r w:rsidR="00C94BF4" w:rsidRPr="0073060A">
        <w:rPr>
          <w:rFonts w:eastAsia="Courier New"/>
          <w:i/>
          <w:sz w:val="26"/>
          <w:szCs w:val="26"/>
          <w:lang w:eastAsia="vi-VN"/>
        </w:rPr>
        <w:t>)</w:t>
      </w:r>
    </w:p>
    <w:p w14:paraId="758D9292" w14:textId="5EC260F8" w:rsidR="00C94BF4" w:rsidRPr="00FC226C" w:rsidRDefault="00C94BF4" w:rsidP="00C94BF4">
      <w:pPr>
        <w:widowControl w:val="0"/>
        <w:tabs>
          <w:tab w:val="left" w:pos="4260"/>
          <w:tab w:val="center" w:pos="7283"/>
          <w:tab w:val="right" w:leader="dot" w:pos="8640"/>
        </w:tabs>
        <w:jc w:val="center"/>
        <w:rPr>
          <w:rFonts w:eastAsia="Courier New"/>
          <w:i/>
          <w:sz w:val="24"/>
          <w:szCs w:val="24"/>
          <w:lang w:eastAsia="vi-V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26"/>
        <w:gridCol w:w="1818"/>
        <w:gridCol w:w="5279"/>
        <w:gridCol w:w="5954"/>
      </w:tblGrid>
      <w:tr w:rsidR="00FC226C" w:rsidRPr="0073060A" w14:paraId="5B19C308" w14:textId="77777777" w:rsidTr="00023D59">
        <w:tc>
          <w:tcPr>
            <w:tcW w:w="708" w:type="dxa"/>
            <w:shd w:val="clear" w:color="auto" w:fill="auto"/>
            <w:vAlign w:val="center"/>
          </w:tcPr>
          <w:p w14:paraId="55CE358C" w14:textId="77777777" w:rsidR="00FC226C" w:rsidRPr="0073060A" w:rsidRDefault="00FC226C" w:rsidP="00B5633B">
            <w:pPr>
              <w:widowControl w:val="0"/>
              <w:tabs>
                <w:tab w:val="right" w:leader="dot" w:pos="8640"/>
              </w:tabs>
              <w:spacing w:before="120"/>
              <w:jc w:val="center"/>
              <w:rPr>
                <w:rFonts w:eastAsia="Courier New"/>
                <w:b/>
                <w:sz w:val="26"/>
                <w:szCs w:val="26"/>
                <w:lang w:eastAsia="vi-VN"/>
              </w:rPr>
            </w:pPr>
            <w:r w:rsidRPr="0073060A">
              <w:rPr>
                <w:rFonts w:eastAsia="Courier New"/>
                <w:b/>
                <w:sz w:val="26"/>
                <w:szCs w:val="26"/>
                <w:lang w:eastAsia="vi-VN"/>
              </w:rPr>
              <w:t>STT</w:t>
            </w:r>
          </w:p>
        </w:tc>
        <w:tc>
          <w:tcPr>
            <w:tcW w:w="1126" w:type="dxa"/>
            <w:shd w:val="clear" w:color="auto" w:fill="auto"/>
            <w:vAlign w:val="center"/>
          </w:tcPr>
          <w:p w14:paraId="62E92F52" w14:textId="77777777" w:rsidR="00FC226C" w:rsidRPr="0073060A" w:rsidRDefault="00FC226C" w:rsidP="00B5633B">
            <w:pPr>
              <w:widowControl w:val="0"/>
              <w:tabs>
                <w:tab w:val="right" w:leader="dot" w:pos="8640"/>
              </w:tabs>
              <w:spacing w:before="120"/>
              <w:jc w:val="center"/>
              <w:rPr>
                <w:rFonts w:eastAsia="Courier New"/>
                <w:b/>
                <w:sz w:val="26"/>
                <w:szCs w:val="26"/>
                <w:lang w:eastAsia="vi-VN"/>
              </w:rPr>
            </w:pPr>
            <w:r w:rsidRPr="0073060A">
              <w:rPr>
                <w:rFonts w:eastAsia="Courier New"/>
                <w:b/>
                <w:sz w:val="26"/>
                <w:szCs w:val="26"/>
                <w:lang w:eastAsia="vi-VN"/>
              </w:rPr>
              <w:t>Tên loại văn bản</w:t>
            </w:r>
          </w:p>
        </w:tc>
        <w:tc>
          <w:tcPr>
            <w:tcW w:w="1818" w:type="dxa"/>
            <w:shd w:val="clear" w:color="auto" w:fill="auto"/>
            <w:vAlign w:val="center"/>
          </w:tcPr>
          <w:p w14:paraId="26C95979" w14:textId="77777777" w:rsidR="00FC226C" w:rsidRPr="0073060A" w:rsidRDefault="00FC226C" w:rsidP="00B5633B">
            <w:pPr>
              <w:widowControl w:val="0"/>
              <w:tabs>
                <w:tab w:val="right" w:leader="dot" w:pos="8640"/>
              </w:tabs>
              <w:spacing w:before="120"/>
              <w:jc w:val="center"/>
              <w:rPr>
                <w:rFonts w:eastAsia="Courier New"/>
                <w:b/>
                <w:sz w:val="26"/>
                <w:szCs w:val="26"/>
                <w:lang w:eastAsia="vi-VN"/>
              </w:rPr>
            </w:pPr>
            <w:r w:rsidRPr="0073060A">
              <w:rPr>
                <w:rFonts w:eastAsia="Courier New"/>
                <w:b/>
                <w:sz w:val="26"/>
                <w:szCs w:val="26"/>
                <w:lang w:eastAsia="vi-VN"/>
              </w:rPr>
              <w:t>Số, ký hiệu, ngày, tháng năm ban hành</w:t>
            </w:r>
          </w:p>
        </w:tc>
        <w:tc>
          <w:tcPr>
            <w:tcW w:w="5279" w:type="dxa"/>
            <w:shd w:val="clear" w:color="auto" w:fill="auto"/>
            <w:vAlign w:val="center"/>
          </w:tcPr>
          <w:p w14:paraId="157A3407" w14:textId="77777777" w:rsidR="00FC226C" w:rsidRPr="0073060A" w:rsidRDefault="00FC226C" w:rsidP="00B5633B">
            <w:pPr>
              <w:widowControl w:val="0"/>
              <w:tabs>
                <w:tab w:val="right" w:leader="dot" w:pos="8640"/>
              </w:tabs>
              <w:spacing w:before="120"/>
              <w:jc w:val="center"/>
              <w:rPr>
                <w:rFonts w:eastAsia="Courier New"/>
                <w:b/>
                <w:sz w:val="26"/>
                <w:szCs w:val="26"/>
                <w:lang w:eastAsia="vi-VN"/>
              </w:rPr>
            </w:pPr>
            <w:r w:rsidRPr="0073060A">
              <w:rPr>
                <w:rFonts w:eastAsia="Courier New"/>
                <w:b/>
                <w:sz w:val="26"/>
                <w:szCs w:val="26"/>
                <w:lang w:eastAsia="vi-VN"/>
              </w:rPr>
              <w:t>Tên gọi văn bản</w:t>
            </w:r>
          </w:p>
        </w:tc>
        <w:tc>
          <w:tcPr>
            <w:tcW w:w="5954" w:type="dxa"/>
            <w:shd w:val="clear" w:color="auto" w:fill="auto"/>
            <w:vAlign w:val="center"/>
          </w:tcPr>
          <w:p w14:paraId="0C2AA572" w14:textId="77777777" w:rsidR="00FC226C" w:rsidRPr="0073060A" w:rsidRDefault="00FC226C" w:rsidP="00B5633B">
            <w:pPr>
              <w:widowControl w:val="0"/>
              <w:tabs>
                <w:tab w:val="right" w:leader="dot" w:pos="8640"/>
              </w:tabs>
              <w:spacing w:before="120"/>
              <w:jc w:val="center"/>
              <w:rPr>
                <w:rFonts w:eastAsia="Courier New"/>
                <w:b/>
                <w:sz w:val="26"/>
                <w:szCs w:val="26"/>
                <w:lang w:eastAsia="vi-VN"/>
              </w:rPr>
            </w:pPr>
            <w:r w:rsidRPr="0073060A">
              <w:rPr>
                <w:rFonts w:eastAsia="Courier New"/>
                <w:b/>
                <w:sz w:val="26"/>
                <w:szCs w:val="26"/>
                <w:lang w:eastAsia="vi-VN"/>
              </w:rPr>
              <w:t>Lý do bãi bỏ</w:t>
            </w:r>
          </w:p>
        </w:tc>
      </w:tr>
      <w:tr w:rsidR="00FC226C" w:rsidRPr="0073060A" w14:paraId="469A9026" w14:textId="77777777" w:rsidTr="00023D59">
        <w:tc>
          <w:tcPr>
            <w:tcW w:w="708" w:type="dxa"/>
            <w:shd w:val="clear" w:color="auto" w:fill="auto"/>
            <w:vAlign w:val="center"/>
          </w:tcPr>
          <w:p w14:paraId="065BE1BA" w14:textId="77777777" w:rsidR="00FC226C" w:rsidRPr="0073060A" w:rsidRDefault="00FC226C" w:rsidP="00B5633B">
            <w:pPr>
              <w:widowControl w:val="0"/>
              <w:tabs>
                <w:tab w:val="right" w:leader="dot" w:pos="8640"/>
              </w:tabs>
              <w:spacing w:before="120"/>
              <w:jc w:val="center"/>
              <w:rPr>
                <w:rFonts w:eastAsia="Courier New"/>
                <w:sz w:val="26"/>
                <w:szCs w:val="26"/>
                <w:lang w:eastAsia="vi-VN"/>
              </w:rPr>
            </w:pPr>
            <w:r w:rsidRPr="0073060A">
              <w:rPr>
                <w:rFonts w:eastAsia="Courier New"/>
                <w:sz w:val="26"/>
                <w:szCs w:val="26"/>
                <w:lang w:eastAsia="vi-VN"/>
              </w:rPr>
              <w:t>1</w:t>
            </w:r>
          </w:p>
        </w:tc>
        <w:tc>
          <w:tcPr>
            <w:tcW w:w="1126" w:type="dxa"/>
            <w:shd w:val="clear" w:color="auto" w:fill="auto"/>
            <w:vAlign w:val="center"/>
          </w:tcPr>
          <w:p w14:paraId="0DEF4B8E" w14:textId="77777777" w:rsidR="00FC226C" w:rsidRPr="0073060A" w:rsidRDefault="00FC226C" w:rsidP="00B5633B">
            <w:pPr>
              <w:spacing w:before="120" w:after="120"/>
              <w:jc w:val="center"/>
              <w:rPr>
                <w:sz w:val="26"/>
                <w:szCs w:val="26"/>
              </w:rPr>
            </w:pPr>
            <w:r w:rsidRPr="0073060A">
              <w:rPr>
                <w:sz w:val="26"/>
                <w:szCs w:val="26"/>
              </w:rPr>
              <w:t>Nghị quyết</w:t>
            </w:r>
          </w:p>
        </w:tc>
        <w:tc>
          <w:tcPr>
            <w:tcW w:w="1818" w:type="dxa"/>
            <w:shd w:val="clear" w:color="auto" w:fill="auto"/>
            <w:vAlign w:val="center"/>
          </w:tcPr>
          <w:p w14:paraId="303235CB" w14:textId="0B5AD12F" w:rsidR="00FC226C" w:rsidRPr="0073060A" w:rsidRDefault="00B13DFF" w:rsidP="00B5633B">
            <w:pPr>
              <w:spacing w:before="120" w:after="120"/>
              <w:jc w:val="center"/>
              <w:rPr>
                <w:sz w:val="26"/>
                <w:szCs w:val="26"/>
              </w:rPr>
            </w:pPr>
            <w:r w:rsidRPr="0073060A">
              <w:rPr>
                <w:sz w:val="26"/>
                <w:szCs w:val="26"/>
              </w:rPr>
              <w:t>28/2007/NQ-HĐND ngày 07/12/2007</w:t>
            </w:r>
          </w:p>
        </w:tc>
        <w:tc>
          <w:tcPr>
            <w:tcW w:w="5279" w:type="dxa"/>
            <w:shd w:val="clear" w:color="auto" w:fill="auto"/>
            <w:vAlign w:val="center"/>
          </w:tcPr>
          <w:p w14:paraId="114670DC" w14:textId="15230CA1" w:rsidR="00FC226C" w:rsidRPr="0073060A" w:rsidRDefault="00FC226C" w:rsidP="00B5633B">
            <w:pPr>
              <w:spacing w:before="120" w:after="120"/>
              <w:jc w:val="both"/>
              <w:rPr>
                <w:sz w:val="26"/>
                <w:szCs w:val="26"/>
              </w:rPr>
            </w:pPr>
            <w:r w:rsidRPr="0073060A">
              <w:rPr>
                <w:bCs/>
                <w:spacing w:val="-4"/>
                <w:sz w:val="26"/>
                <w:szCs w:val="26"/>
              </w:rPr>
              <w:t xml:space="preserve">Về việc </w:t>
            </w:r>
            <w:r w:rsidR="00B13DFF" w:rsidRPr="0073060A">
              <w:rPr>
                <w:bCs/>
                <w:spacing w:val="-4"/>
                <w:sz w:val="26"/>
                <w:szCs w:val="26"/>
              </w:rPr>
              <w:t>điều chỉnh mức thu đóng góp chi phí của người nghiện ma túy tự nguyện vào Trung tâm để cai nghiện, chữa bệnh</w:t>
            </w:r>
          </w:p>
        </w:tc>
        <w:tc>
          <w:tcPr>
            <w:tcW w:w="5954" w:type="dxa"/>
            <w:shd w:val="clear" w:color="auto" w:fill="auto"/>
          </w:tcPr>
          <w:p w14:paraId="35CAAA99" w14:textId="77777777" w:rsidR="007033C5" w:rsidRPr="0073060A" w:rsidRDefault="00BF3812" w:rsidP="00023D59">
            <w:pPr>
              <w:tabs>
                <w:tab w:val="right" w:leader="dot" w:pos="8640"/>
              </w:tabs>
              <w:jc w:val="both"/>
              <w:rPr>
                <w:sz w:val="26"/>
                <w:szCs w:val="26"/>
              </w:rPr>
            </w:pPr>
            <w:r w:rsidRPr="0073060A">
              <w:rPr>
                <w:sz w:val="26"/>
                <w:szCs w:val="26"/>
              </w:rPr>
              <w:t>Căn cứ pháp lý</w:t>
            </w:r>
            <w:r w:rsidR="000254C1" w:rsidRPr="0073060A">
              <w:rPr>
                <w:sz w:val="26"/>
                <w:szCs w:val="26"/>
              </w:rPr>
              <w:t xml:space="preserve"> trực tiếp</w:t>
            </w:r>
            <w:r w:rsidRPr="0073060A">
              <w:rPr>
                <w:sz w:val="26"/>
                <w:szCs w:val="26"/>
              </w:rPr>
              <w:t xml:space="preserve"> </w:t>
            </w:r>
            <w:r w:rsidR="00275CCC" w:rsidRPr="0073060A">
              <w:rPr>
                <w:sz w:val="26"/>
                <w:szCs w:val="26"/>
              </w:rPr>
              <w:t>ban hành</w:t>
            </w:r>
            <w:r w:rsidRPr="0073060A">
              <w:rPr>
                <w:sz w:val="26"/>
                <w:szCs w:val="26"/>
              </w:rPr>
              <w:t xml:space="preserve"> Nghị quyết số 28/2007/NQ-HĐND là Nghị định số 135/2004/NĐ-CP ngày 10/6/2004 của Chính phủ về quy định chế độ áp dụng biện pháp đưa vào cơ sở chữa bệnh, tổ chức hoạt động của cơ sở chữa bệnh theo Pháp lệnh xử lý vi phạm hành chính và chế độ áp dụng đối với người chưa thành niên, người tự nguyện vào cơ sở chữa bệnh</w:t>
            </w:r>
            <w:r w:rsidR="0089021E" w:rsidRPr="0073060A">
              <w:rPr>
                <w:sz w:val="26"/>
                <w:szCs w:val="26"/>
              </w:rPr>
              <w:t xml:space="preserve">; </w:t>
            </w:r>
            <w:r w:rsidRPr="0073060A">
              <w:rPr>
                <w:sz w:val="26"/>
                <w:szCs w:val="26"/>
              </w:rPr>
              <w:t xml:space="preserve">Thông tư số 117/2007/TTLT-BTC-BLĐTBXH ngày 01/10/2007 của liên Bộ Tài chính - Bộ Lao động, Thương binh và xã hội hướng dẫn về trách nhiệm đóng góp và chế độ trợ cấp đối với người nghiện ma túy, người bán dâm. </w:t>
            </w:r>
          </w:p>
          <w:p w14:paraId="7620C6EB" w14:textId="5AFF5EC4" w:rsidR="00646172" w:rsidRDefault="00BF3812" w:rsidP="00023D59">
            <w:pPr>
              <w:tabs>
                <w:tab w:val="right" w:leader="dot" w:pos="8640"/>
              </w:tabs>
              <w:jc w:val="both"/>
              <w:rPr>
                <w:sz w:val="26"/>
                <w:szCs w:val="26"/>
              </w:rPr>
            </w:pPr>
            <w:r w:rsidRPr="0073060A">
              <w:rPr>
                <w:sz w:val="26"/>
                <w:szCs w:val="26"/>
              </w:rPr>
              <w:t xml:space="preserve">Hiện nay Nghị định số </w:t>
            </w:r>
            <w:r w:rsidR="00035F40">
              <w:rPr>
                <w:sz w:val="26"/>
                <w:szCs w:val="26"/>
              </w:rPr>
              <w:t>1</w:t>
            </w:r>
            <w:r w:rsidRPr="0073060A">
              <w:rPr>
                <w:sz w:val="26"/>
                <w:szCs w:val="26"/>
              </w:rPr>
              <w:t xml:space="preserve">35/2004/NĐ-CP đã </w:t>
            </w:r>
            <w:r w:rsidR="00646172">
              <w:rPr>
                <w:sz w:val="26"/>
                <w:szCs w:val="26"/>
              </w:rPr>
              <w:t>được bãi bỏ bởi</w:t>
            </w:r>
            <w:r w:rsidRPr="0073060A">
              <w:rPr>
                <w:sz w:val="26"/>
                <w:szCs w:val="26"/>
              </w:rPr>
              <w:t xml:space="preserve"> Nghị định số 116/2021/NĐ-CP ngày 21/12/2021 của Chính phủ quy định chi tiết một số điều của luật phòng, chống ma túy, </w:t>
            </w:r>
            <w:r w:rsidR="00646172">
              <w:rPr>
                <w:sz w:val="26"/>
                <w:szCs w:val="26"/>
              </w:rPr>
              <w:t>L</w:t>
            </w:r>
            <w:r w:rsidRPr="0073060A">
              <w:rPr>
                <w:sz w:val="26"/>
                <w:szCs w:val="26"/>
              </w:rPr>
              <w:t>uật xử lý vi phạm hành chính về cai nghiện ma túy và quản lý sau cai nghiện ma túy. Thông tư số 117/2007/TTLT-BTC-BLĐTBXH</w:t>
            </w:r>
            <w:r w:rsidR="0089021E" w:rsidRPr="0073060A">
              <w:rPr>
                <w:sz w:val="26"/>
                <w:szCs w:val="26"/>
              </w:rPr>
              <w:t xml:space="preserve"> của liên Bộ Tài chính, Bộ Lao động-Thương binh và Xã hội</w:t>
            </w:r>
            <w:r w:rsidR="00E95461" w:rsidRPr="0073060A">
              <w:rPr>
                <w:sz w:val="26"/>
                <w:szCs w:val="26"/>
              </w:rPr>
              <w:t xml:space="preserve"> </w:t>
            </w:r>
            <w:r w:rsidR="00275CCC" w:rsidRPr="0073060A">
              <w:rPr>
                <w:sz w:val="26"/>
                <w:szCs w:val="26"/>
              </w:rPr>
              <w:t xml:space="preserve">đã hết hiệu lực </w:t>
            </w:r>
            <w:r w:rsidR="00646172">
              <w:rPr>
                <w:sz w:val="26"/>
                <w:szCs w:val="26"/>
              </w:rPr>
              <w:t xml:space="preserve">pháp luật theo Thông tư liên tịch số 27/2012/TTLT-BTC-BLĐTBXH ngày 24/02/2012 của Bộ trưởng Bộ Tài chính, Bộ </w:t>
            </w:r>
            <w:r w:rsidR="00646172">
              <w:rPr>
                <w:sz w:val="26"/>
                <w:szCs w:val="26"/>
              </w:rPr>
              <w:lastRenderedPageBreak/>
              <w:t xml:space="preserve">trưởng Bộ Lao động – Thương binh và Xã hội quy định quản lý và sử dụng kinh phí thực hiện chế độ áp dụng biện pháp đưa vào cơ sở chữa bệnh, các khoản đóng góp và chế độ miễn, giảm, hỗ trợ đối với đối tượng trong cơ sở chữa bệnh và tổ chức cai nghiện ma túy tại gia đình và cộng đồng. </w:t>
            </w:r>
          </w:p>
          <w:p w14:paraId="7EE231B9" w14:textId="53E7F4FA" w:rsidR="00275CCC" w:rsidRPr="0073060A" w:rsidRDefault="00275CCC" w:rsidP="00023D59">
            <w:pPr>
              <w:tabs>
                <w:tab w:val="right" w:leader="dot" w:pos="8640"/>
              </w:tabs>
              <w:jc w:val="both"/>
              <w:rPr>
                <w:sz w:val="26"/>
                <w:szCs w:val="26"/>
              </w:rPr>
            </w:pPr>
            <w:r w:rsidRPr="0073060A">
              <w:rPr>
                <w:sz w:val="26"/>
                <w:szCs w:val="26"/>
              </w:rPr>
              <w:t xml:space="preserve">Do đó, Nghị quyết số 28/2007/NQ-HĐND không </w:t>
            </w:r>
            <w:r w:rsidR="0089021E" w:rsidRPr="0073060A">
              <w:rPr>
                <w:sz w:val="26"/>
                <w:szCs w:val="26"/>
              </w:rPr>
              <w:t xml:space="preserve">còn </w:t>
            </w:r>
            <w:r w:rsidRPr="0073060A">
              <w:rPr>
                <w:sz w:val="26"/>
                <w:szCs w:val="26"/>
              </w:rPr>
              <w:t xml:space="preserve">phù hợp </w:t>
            </w:r>
            <w:r w:rsidR="0089021E" w:rsidRPr="0073060A">
              <w:rPr>
                <w:sz w:val="26"/>
                <w:szCs w:val="26"/>
              </w:rPr>
              <w:t>với</w:t>
            </w:r>
            <w:r w:rsidRPr="0073060A">
              <w:rPr>
                <w:sz w:val="26"/>
                <w:szCs w:val="26"/>
              </w:rPr>
              <w:t xml:space="preserve"> quy định hiện hành. </w:t>
            </w:r>
          </w:p>
        </w:tc>
      </w:tr>
      <w:tr w:rsidR="00FC226C" w:rsidRPr="0073060A" w14:paraId="525F4319" w14:textId="77777777" w:rsidTr="00023D59">
        <w:tc>
          <w:tcPr>
            <w:tcW w:w="708" w:type="dxa"/>
            <w:shd w:val="clear" w:color="auto" w:fill="auto"/>
            <w:vAlign w:val="center"/>
          </w:tcPr>
          <w:p w14:paraId="3298EB15" w14:textId="77777777" w:rsidR="00FC226C" w:rsidRPr="0073060A" w:rsidRDefault="00FC226C" w:rsidP="00B5633B">
            <w:pPr>
              <w:widowControl w:val="0"/>
              <w:tabs>
                <w:tab w:val="right" w:leader="dot" w:pos="8640"/>
              </w:tabs>
              <w:spacing w:before="120"/>
              <w:jc w:val="center"/>
              <w:rPr>
                <w:rFonts w:eastAsia="Courier New"/>
                <w:sz w:val="26"/>
                <w:szCs w:val="26"/>
                <w:lang w:eastAsia="vi-VN"/>
              </w:rPr>
            </w:pPr>
            <w:r w:rsidRPr="0073060A">
              <w:rPr>
                <w:rFonts w:eastAsia="Courier New"/>
                <w:sz w:val="26"/>
                <w:szCs w:val="26"/>
                <w:lang w:eastAsia="vi-VN"/>
              </w:rPr>
              <w:lastRenderedPageBreak/>
              <w:t>2</w:t>
            </w:r>
          </w:p>
        </w:tc>
        <w:tc>
          <w:tcPr>
            <w:tcW w:w="1126" w:type="dxa"/>
            <w:shd w:val="clear" w:color="auto" w:fill="auto"/>
            <w:vAlign w:val="center"/>
          </w:tcPr>
          <w:p w14:paraId="2F7F3FF9" w14:textId="77777777" w:rsidR="00FC226C" w:rsidRPr="0073060A" w:rsidRDefault="00FC226C" w:rsidP="00B5633B">
            <w:pPr>
              <w:spacing w:before="120" w:after="120"/>
              <w:jc w:val="center"/>
              <w:rPr>
                <w:sz w:val="26"/>
                <w:szCs w:val="26"/>
              </w:rPr>
            </w:pPr>
            <w:r w:rsidRPr="0073060A">
              <w:rPr>
                <w:sz w:val="26"/>
                <w:szCs w:val="26"/>
              </w:rPr>
              <w:t>Nghị quyết</w:t>
            </w:r>
          </w:p>
        </w:tc>
        <w:tc>
          <w:tcPr>
            <w:tcW w:w="1818" w:type="dxa"/>
            <w:shd w:val="clear" w:color="auto" w:fill="auto"/>
            <w:vAlign w:val="center"/>
          </w:tcPr>
          <w:p w14:paraId="3FC607E7" w14:textId="32633730" w:rsidR="00FC226C" w:rsidRPr="0073060A" w:rsidRDefault="00B13DFF" w:rsidP="00B5633B">
            <w:pPr>
              <w:spacing w:before="120" w:after="120"/>
              <w:jc w:val="center"/>
              <w:rPr>
                <w:bCs/>
                <w:sz w:val="26"/>
                <w:szCs w:val="26"/>
              </w:rPr>
            </w:pPr>
            <w:r w:rsidRPr="0073060A">
              <w:rPr>
                <w:bCs/>
                <w:sz w:val="26"/>
                <w:szCs w:val="26"/>
              </w:rPr>
              <w:t>07/2009/NQ-HĐND ngày 10/7/2009</w:t>
            </w:r>
          </w:p>
        </w:tc>
        <w:tc>
          <w:tcPr>
            <w:tcW w:w="5279" w:type="dxa"/>
            <w:shd w:val="clear" w:color="auto" w:fill="auto"/>
            <w:vAlign w:val="center"/>
          </w:tcPr>
          <w:p w14:paraId="2B29F798" w14:textId="0FA71FB2" w:rsidR="00FC226C" w:rsidRPr="0073060A" w:rsidRDefault="00B13DFF" w:rsidP="00B5633B">
            <w:pPr>
              <w:spacing w:before="120" w:after="120"/>
              <w:jc w:val="both"/>
              <w:rPr>
                <w:sz w:val="26"/>
                <w:szCs w:val="26"/>
              </w:rPr>
            </w:pPr>
            <w:r w:rsidRPr="0073060A">
              <w:rPr>
                <w:sz w:val="26"/>
                <w:szCs w:val="26"/>
              </w:rPr>
              <w:t>Về việc bổ sung Nghị quyết số 27/2007/NQ-HĐND ngày 07/12/2007 của HĐND tỉnh về việc sửa đổi, bổ sung mức thu và sử dụng học phí ở các cơ sở giáo dục đào tạo công lập của tỉnh</w:t>
            </w:r>
          </w:p>
        </w:tc>
        <w:tc>
          <w:tcPr>
            <w:tcW w:w="5954" w:type="dxa"/>
            <w:shd w:val="clear" w:color="auto" w:fill="auto"/>
          </w:tcPr>
          <w:p w14:paraId="543060BD" w14:textId="77777777" w:rsidR="007033C5" w:rsidRPr="0073060A" w:rsidRDefault="00275CCC" w:rsidP="00023D59">
            <w:pPr>
              <w:jc w:val="both"/>
              <w:rPr>
                <w:color w:val="000000" w:themeColor="text1"/>
                <w:sz w:val="26"/>
                <w:szCs w:val="26"/>
              </w:rPr>
            </w:pPr>
            <w:r w:rsidRPr="0073060A">
              <w:rPr>
                <w:color w:val="000000" w:themeColor="text1"/>
                <w:sz w:val="26"/>
                <w:szCs w:val="26"/>
              </w:rPr>
              <w:t>Căn cứ pháp lý</w:t>
            </w:r>
            <w:r w:rsidR="00F00E81" w:rsidRPr="0073060A">
              <w:rPr>
                <w:color w:val="000000" w:themeColor="text1"/>
                <w:sz w:val="26"/>
                <w:szCs w:val="26"/>
              </w:rPr>
              <w:t xml:space="preserve"> trực tiếp</w:t>
            </w:r>
            <w:r w:rsidRPr="0073060A">
              <w:rPr>
                <w:color w:val="000000" w:themeColor="text1"/>
                <w:sz w:val="26"/>
                <w:szCs w:val="26"/>
              </w:rPr>
              <w:t xml:space="preserve"> ban hành Nghị quyết số 07/2009/NQ-HĐND là </w:t>
            </w:r>
            <w:r w:rsidR="00E95461" w:rsidRPr="0073060A">
              <w:rPr>
                <w:color w:val="000000" w:themeColor="text1"/>
                <w:sz w:val="26"/>
                <w:szCs w:val="26"/>
              </w:rPr>
              <w:t xml:space="preserve">Pháp lệnh Phí và lệ phí ngày 28/8/2001; Nghị định số 57/2002/NĐ-CP ngày 03 tháng 6 năm 2002 của Chính phủ quy định chi tiết thi hành Pháp lệnh Phí và Lệ phí; Nghị định số 24/2006/NĐ-CP ngày 06 tháng 3 năm 2006 của Chính phủ sửa đổi, bổ sung một số điều của Nghị định số 57/2002/NĐ-CP ngày 03 tháng 6 năm 2002 của Chính phủ; Quyết định số 70/1998/QĐ-TTg ngày 31 tháng 3 năm 1998 của Thủ tướng Chính phủ về việc thu và sử dụng học phí ở các cơ sở giáo dục và đào tạo công lập thuộc hệ thống giáo dục quốc dân. </w:t>
            </w:r>
          </w:p>
          <w:p w14:paraId="34B769EA" w14:textId="5932B6AA" w:rsidR="00E95461" w:rsidRPr="0073060A" w:rsidRDefault="00E95461" w:rsidP="00023D59">
            <w:pPr>
              <w:jc w:val="both"/>
              <w:rPr>
                <w:color w:val="000000" w:themeColor="text1"/>
                <w:sz w:val="26"/>
                <w:szCs w:val="26"/>
              </w:rPr>
            </w:pPr>
            <w:r w:rsidRPr="0073060A">
              <w:rPr>
                <w:color w:val="000000" w:themeColor="text1"/>
                <w:sz w:val="26"/>
                <w:szCs w:val="26"/>
              </w:rPr>
              <w:t>Hiện nay, Pháp lệnh Phí và lệ phí năm 2001 đã hết hiệu lực thi hành</w:t>
            </w:r>
            <w:r w:rsidR="0089021E" w:rsidRPr="0073060A">
              <w:rPr>
                <w:color w:val="000000" w:themeColor="text1"/>
                <w:sz w:val="26"/>
                <w:szCs w:val="26"/>
              </w:rPr>
              <w:t>.</w:t>
            </w:r>
            <w:r w:rsidRPr="0073060A">
              <w:rPr>
                <w:color w:val="000000" w:themeColor="text1"/>
                <w:sz w:val="26"/>
                <w:szCs w:val="26"/>
              </w:rPr>
              <w:t xml:space="preserve"> Nghị định số </w:t>
            </w:r>
            <w:r w:rsidR="000940D3" w:rsidRPr="0073060A">
              <w:rPr>
                <w:color w:val="000000" w:themeColor="text1"/>
                <w:sz w:val="26"/>
                <w:szCs w:val="26"/>
              </w:rPr>
              <w:t>57/2002/NĐ-CP và Nghị định số 24/2006/NĐ-CP</w:t>
            </w:r>
            <w:r w:rsidR="0089021E" w:rsidRPr="0073060A">
              <w:rPr>
                <w:color w:val="000000" w:themeColor="text1"/>
                <w:sz w:val="26"/>
                <w:szCs w:val="26"/>
              </w:rPr>
              <w:t xml:space="preserve"> của Chính phủ</w:t>
            </w:r>
            <w:r w:rsidR="000940D3" w:rsidRPr="0073060A">
              <w:rPr>
                <w:color w:val="000000" w:themeColor="text1"/>
                <w:sz w:val="26"/>
                <w:szCs w:val="26"/>
              </w:rPr>
              <w:t xml:space="preserve"> đã hết hiệu lực thi hành theo khoản 2, Điều 8, Nghị định số 120/2016/NĐ-CP ngày 23/8/2016 của Chính phủ quy định chi tiết và hướng dẫn thi hành một số điều của Luật Phí và Lệ phí. Quyết định số 70/1998/QĐ-TTg đã được bãi bỏ toàn bộ </w:t>
            </w:r>
            <w:r w:rsidR="007033C5" w:rsidRPr="0073060A">
              <w:rPr>
                <w:color w:val="000000" w:themeColor="text1"/>
                <w:sz w:val="26"/>
                <w:szCs w:val="26"/>
              </w:rPr>
              <w:t>theo</w:t>
            </w:r>
            <w:r w:rsidR="000940D3" w:rsidRPr="0073060A">
              <w:rPr>
                <w:color w:val="000000" w:themeColor="text1"/>
                <w:sz w:val="26"/>
                <w:szCs w:val="26"/>
              </w:rPr>
              <w:t xml:space="preserve"> Quyết định số 35/2021/QĐ-TTg ngày 24/11/2021 của Thủ tướng Chính phủ bãi bỏ một số văn bản quy phạm pháp luật của Thủ tướng Chính phủ. </w:t>
            </w:r>
          </w:p>
          <w:p w14:paraId="5458A269" w14:textId="6C686CFF" w:rsidR="000940D3" w:rsidRPr="0073060A" w:rsidRDefault="000940D3" w:rsidP="00023D59">
            <w:pPr>
              <w:jc w:val="both"/>
              <w:rPr>
                <w:color w:val="000000" w:themeColor="text1"/>
                <w:sz w:val="26"/>
                <w:szCs w:val="26"/>
              </w:rPr>
            </w:pPr>
            <w:r w:rsidRPr="0073060A">
              <w:rPr>
                <w:color w:val="000000" w:themeColor="text1"/>
                <w:sz w:val="26"/>
                <w:szCs w:val="26"/>
              </w:rPr>
              <w:t xml:space="preserve">Đồng thời, mức học phí giáo dục mầm non, giáo dục </w:t>
            </w:r>
            <w:r w:rsidRPr="0073060A">
              <w:rPr>
                <w:color w:val="000000" w:themeColor="text1"/>
                <w:sz w:val="26"/>
                <w:szCs w:val="26"/>
              </w:rPr>
              <w:lastRenderedPageBreak/>
              <w:t>phổ thông công lập trên địa bàn tỉnh</w:t>
            </w:r>
            <w:r w:rsidR="0089021E" w:rsidRPr="0073060A">
              <w:rPr>
                <w:color w:val="000000" w:themeColor="text1"/>
                <w:sz w:val="26"/>
                <w:szCs w:val="26"/>
              </w:rPr>
              <w:t xml:space="preserve"> An Giang</w:t>
            </w:r>
            <w:r w:rsidRPr="0073060A">
              <w:rPr>
                <w:color w:val="000000" w:themeColor="text1"/>
                <w:sz w:val="26"/>
                <w:szCs w:val="26"/>
              </w:rPr>
              <w:t xml:space="preserve"> hiện nay đang được thực hiện theo Nghị định số 81/2021/NĐ-CP ngày 27/8/2021 của Chính phủ quy định cơ chế thu, quản lý học phí đối với cơ sở giáo dục thuộc hệ thống giáo dục quốc dân và chính sách miễn giảm, học phí, </w:t>
            </w:r>
            <w:r w:rsidR="000254C1" w:rsidRPr="0073060A">
              <w:rPr>
                <w:color w:val="000000" w:themeColor="text1"/>
                <w:sz w:val="26"/>
                <w:szCs w:val="26"/>
              </w:rPr>
              <w:t xml:space="preserve">hỗ trợ chi phí học tập; giá dịch vụ trong lĩnh vực giáo dục và đào tạo; Nghị quyết số 13/2021/NQ-HĐND ngày 19/8/2021 </w:t>
            </w:r>
            <w:bookmarkStart w:id="1" w:name="loai_1_name"/>
            <w:r w:rsidR="0089021E" w:rsidRPr="0073060A">
              <w:rPr>
                <w:color w:val="000000" w:themeColor="text1"/>
                <w:sz w:val="26"/>
                <w:szCs w:val="26"/>
              </w:rPr>
              <w:t xml:space="preserve">của Hội đồng nhân dân tỉnh </w:t>
            </w:r>
            <w:r w:rsidR="000254C1" w:rsidRPr="0073060A">
              <w:rPr>
                <w:color w:val="000000"/>
                <w:sz w:val="26"/>
                <w:szCs w:val="26"/>
                <w:shd w:val="clear" w:color="auto" w:fill="FFFFFF"/>
              </w:rPr>
              <w:t>quy định mức thu dịch vụ giáo dục (học phí) mầm non và phổ thông công lập đối với các chương trình giáo dục đại trà năm học 2021 - 2022 trên địa bàn tỉnh An Giang</w:t>
            </w:r>
            <w:bookmarkEnd w:id="1"/>
            <w:r w:rsidR="000254C1" w:rsidRPr="0073060A">
              <w:rPr>
                <w:color w:val="000000"/>
                <w:sz w:val="26"/>
                <w:szCs w:val="26"/>
                <w:shd w:val="clear" w:color="auto" w:fill="FFFFFF"/>
              </w:rPr>
              <w:t xml:space="preserve">. </w:t>
            </w:r>
          </w:p>
          <w:p w14:paraId="72A22B2D" w14:textId="3EB8268B" w:rsidR="00FC226C" w:rsidRPr="0073060A" w:rsidRDefault="00F00E81" w:rsidP="00023D59">
            <w:pPr>
              <w:jc w:val="both"/>
              <w:rPr>
                <w:color w:val="000000"/>
                <w:sz w:val="26"/>
                <w:szCs w:val="26"/>
                <w:shd w:val="clear" w:color="auto" w:fill="FFFFFF"/>
              </w:rPr>
            </w:pPr>
            <w:r w:rsidRPr="0073060A">
              <w:rPr>
                <w:color w:val="000000"/>
                <w:sz w:val="26"/>
                <w:szCs w:val="26"/>
                <w:shd w:val="clear" w:color="auto" w:fill="FFFFFF"/>
              </w:rPr>
              <w:t xml:space="preserve">Do đó, Nghị quyết số </w:t>
            </w:r>
            <w:r w:rsidRPr="0073060A">
              <w:rPr>
                <w:bCs/>
                <w:sz w:val="26"/>
                <w:szCs w:val="26"/>
              </w:rPr>
              <w:t>07/2009/NQ-HĐND ngày 10/7/2009 không phù hợp với quy địn</w:t>
            </w:r>
            <w:r w:rsidR="00934456" w:rsidRPr="0073060A">
              <w:rPr>
                <w:bCs/>
                <w:sz w:val="26"/>
                <w:szCs w:val="26"/>
              </w:rPr>
              <w:t>h</w:t>
            </w:r>
            <w:r w:rsidRPr="0073060A">
              <w:rPr>
                <w:bCs/>
                <w:sz w:val="26"/>
                <w:szCs w:val="26"/>
              </w:rPr>
              <w:t xml:space="preserve"> hiện hành. </w:t>
            </w:r>
          </w:p>
        </w:tc>
      </w:tr>
      <w:tr w:rsidR="00B13DFF" w:rsidRPr="0073060A" w14:paraId="3B570CD1" w14:textId="77777777" w:rsidTr="00023D59">
        <w:tc>
          <w:tcPr>
            <w:tcW w:w="708" w:type="dxa"/>
            <w:shd w:val="clear" w:color="auto" w:fill="auto"/>
            <w:vAlign w:val="center"/>
          </w:tcPr>
          <w:p w14:paraId="0A3844FA" w14:textId="159391BC" w:rsidR="00B13DFF" w:rsidRPr="0073060A" w:rsidRDefault="00B13DFF" w:rsidP="00B5633B">
            <w:pPr>
              <w:widowControl w:val="0"/>
              <w:tabs>
                <w:tab w:val="right" w:leader="dot" w:pos="8640"/>
              </w:tabs>
              <w:spacing w:before="120"/>
              <w:jc w:val="center"/>
              <w:rPr>
                <w:rFonts w:eastAsia="Courier New"/>
                <w:sz w:val="26"/>
                <w:szCs w:val="26"/>
                <w:lang w:eastAsia="vi-VN"/>
              </w:rPr>
            </w:pPr>
            <w:r w:rsidRPr="0073060A">
              <w:rPr>
                <w:rFonts w:eastAsia="Courier New"/>
                <w:sz w:val="26"/>
                <w:szCs w:val="26"/>
                <w:lang w:eastAsia="vi-VN"/>
              </w:rPr>
              <w:lastRenderedPageBreak/>
              <w:t>3</w:t>
            </w:r>
          </w:p>
        </w:tc>
        <w:tc>
          <w:tcPr>
            <w:tcW w:w="1126" w:type="dxa"/>
            <w:shd w:val="clear" w:color="auto" w:fill="auto"/>
            <w:vAlign w:val="center"/>
          </w:tcPr>
          <w:p w14:paraId="2BBAD049" w14:textId="41AD1FA9" w:rsidR="00B13DFF" w:rsidRPr="0073060A" w:rsidRDefault="00B13DFF" w:rsidP="00B5633B">
            <w:pPr>
              <w:spacing w:before="120" w:after="120"/>
              <w:jc w:val="center"/>
              <w:rPr>
                <w:sz w:val="26"/>
                <w:szCs w:val="26"/>
              </w:rPr>
            </w:pPr>
            <w:r w:rsidRPr="0073060A">
              <w:rPr>
                <w:sz w:val="26"/>
                <w:szCs w:val="26"/>
              </w:rPr>
              <w:t>Nghị quyết</w:t>
            </w:r>
          </w:p>
        </w:tc>
        <w:tc>
          <w:tcPr>
            <w:tcW w:w="1818" w:type="dxa"/>
            <w:shd w:val="clear" w:color="auto" w:fill="auto"/>
            <w:vAlign w:val="center"/>
          </w:tcPr>
          <w:p w14:paraId="38D55377" w14:textId="7CCBDAE0" w:rsidR="00B13DFF" w:rsidRPr="0073060A" w:rsidRDefault="00B13DFF" w:rsidP="00B5633B">
            <w:pPr>
              <w:spacing w:before="120" w:after="120"/>
              <w:jc w:val="center"/>
              <w:rPr>
                <w:bCs/>
                <w:sz w:val="26"/>
                <w:szCs w:val="26"/>
              </w:rPr>
            </w:pPr>
            <w:r w:rsidRPr="0073060A">
              <w:rPr>
                <w:bCs/>
                <w:sz w:val="26"/>
                <w:szCs w:val="26"/>
              </w:rPr>
              <w:t>14/2011/NQ-HĐND ngày 09/12/2011</w:t>
            </w:r>
          </w:p>
        </w:tc>
        <w:tc>
          <w:tcPr>
            <w:tcW w:w="5279" w:type="dxa"/>
            <w:shd w:val="clear" w:color="auto" w:fill="auto"/>
            <w:vAlign w:val="center"/>
          </w:tcPr>
          <w:p w14:paraId="6AEFD8FD" w14:textId="6618FEDC" w:rsidR="00B13DFF" w:rsidRPr="0073060A" w:rsidRDefault="00B13DFF" w:rsidP="00B5633B">
            <w:pPr>
              <w:spacing w:before="120" w:after="120"/>
              <w:jc w:val="both"/>
              <w:rPr>
                <w:sz w:val="26"/>
                <w:szCs w:val="26"/>
              </w:rPr>
            </w:pPr>
            <w:r w:rsidRPr="0073060A">
              <w:rPr>
                <w:sz w:val="26"/>
                <w:szCs w:val="26"/>
              </w:rPr>
              <w:t>Về việc thông qua nội dung và một số mức chi đặc thù cho công tác hỗ trợ pháp lý cho doanh nghiệp trên địa bàn tỉnh An Giang</w:t>
            </w:r>
          </w:p>
        </w:tc>
        <w:tc>
          <w:tcPr>
            <w:tcW w:w="5954" w:type="dxa"/>
            <w:shd w:val="clear" w:color="auto" w:fill="auto"/>
          </w:tcPr>
          <w:p w14:paraId="6D095B4F" w14:textId="2C8F181C" w:rsidR="007033C5" w:rsidRPr="00B526C9" w:rsidRDefault="000254C1" w:rsidP="00023D59">
            <w:pPr>
              <w:tabs>
                <w:tab w:val="right" w:leader="dot" w:pos="8640"/>
              </w:tabs>
              <w:jc w:val="both"/>
              <w:rPr>
                <w:sz w:val="26"/>
                <w:szCs w:val="26"/>
              </w:rPr>
            </w:pPr>
            <w:r w:rsidRPr="00B526C9">
              <w:rPr>
                <w:sz w:val="26"/>
                <w:szCs w:val="26"/>
              </w:rPr>
              <w:t xml:space="preserve">Căn cứ pháp lý trực tiếp ban hành Nghị quyết số 14/2011/NQ-HĐND là Luật Ngân sách Nhà nước năm 2002; </w:t>
            </w:r>
            <w:r w:rsidR="00B526C9" w:rsidRPr="00B526C9">
              <w:rPr>
                <w:sz w:val="26"/>
                <w:szCs w:val="26"/>
              </w:rPr>
              <w:t xml:space="preserve">Nghị định số 66/2008/NĐ-CP ngày 28 tháng 5 năm 2008 của Chính phủ về hỗ trợ pháp lý cho doanh nghiệp; </w:t>
            </w:r>
            <w:r w:rsidRPr="00B526C9">
              <w:rPr>
                <w:sz w:val="26"/>
                <w:szCs w:val="26"/>
              </w:rPr>
              <w:t>Thông tư liên tịch số 157/2010/TTLT-BTC-BTP ngày 12</w:t>
            </w:r>
            <w:r w:rsidR="0089021E" w:rsidRPr="00B526C9">
              <w:rPr>
                <w:sz w:val="26"/>
                <w:szCs w:val="26"/>
              </w:rPr>
              <w:t>/</w:t>
            </w:r>
            <w:r w:rsidRPr="00B526C9">
              <w:rPr>
                <w:sz w:val="26"/>
                <w:szCs w:val="26"/>
              </w:rPr>
              <w:t>10</w:t>
            </w:r>
            <w:r w:rsidR="0089021E" w:rsidRPr="00B526C9">
              <w:rPr>
                <w:sz w:val="26"/>
                <w:szCs w:val="26"/>
              </w:rPr>
              <w:t>/</w:t>
            </w:r>
            <w:r w:rsidRPr="00B526C9">
              <w:rPr>
                <w:sz w:val="26"/>
                <w:szCs w:val="26"/>
              </w:rPr>
              <w:t xml:space="preserve">2010 của liên Bộ Tài chính và Bộ Tư pháp hướng dẫn việc lập dự toán, quản lý, sử dụng và quyết toán kinh phí ngân sách nhà nước bảo đảm cho công tác hỗ trợ pháp lý cho doanh nghiệp. </w:t>
            </w:r>
          </w:p>
          <w:p w14:paraId="37C97B5A" w14:textId="27B7655C" w:rsidR="000254C1" w:rsidRPr="0073060A" w:rsidRDefault="000254C1" w:rsidP="00023D59">
            <w:pPr>
              <w:tabs>
                <w:tab w:val="right" w:leader="dot" w:pos="8640"/>
              </w:tabs>
              <w:jc w:val="both"/>
              <w:rPr>
                <w:color w:val="000000"/>
                <w:sz w:val="26"/>
                <w:szCs w:val="26"/>
                <w:shd w:val="clear" w:color="auto" w:fill="FFFFFF"/>
              </w:rPr>
            </w:pPr>
            <w:r w:rsidRPr="0073060A">
              <w:rPr>
                <w:sz w:val="26"/>
                <w:szCs w:val="26"/>
              </w:rPr>
              <w:t xml:space="preserve">Hiện nay, Luật Ngân sách Nhà nước năm 2002 đã hết hiệu lực thi hành và được thay thế bởi Luật Ngân sách Nhà nước năm 2015. </w:t>
            </w:r>
            <w:r w:rsidR="00B526C9">
              <w:rPr>
                <w:sz w:val="26"/>
                <w:szCs w:val="26"/>
              </w:rPr>
              <w:t xml:space="preserve">Nghị định số </w:t>
            </w:r>
            <w:r w:rsidR="00B526C9" w:rsidRPr="00B526C9">
              <w:rPr>
                <w:sz w:val="26"/>
                <w:szCs w:val="26"/>
              </w:rPr>
              <w:t>66/2008/NĐ-CP ngày 28 tháng 5 năm 2008 của Chính phủ về hỗ trợ pháp lý cho doanh nghiệp</w:t>
            </w:r>
            <w:r w:rsidR="00B526C9">
              <w:rPr>
                <w:sz w:val="26"/>
                <w:szCs w:val="26"/>
              </w:rPr>
              <w:t xml:space="preserve"> đã hết hiệu lực thi hành và được thay thế bởi Nghị định số 55/2019/NĐ-CP ngày 24/6/2019 của Chính phủ về hỗ trợ pháp lý cho doanh nghiệp nhỏ và vừa. </w:t>
            </w:r>
            <w:r w:rsidRPr="0073060A">
              <w:rPr>
                <w:sz w:val="26"/>
                <w:szCs w:val="26"/>
              </w:rPr>
              <w:t>Thông tư liên tịch số 157/2010/TTLT-BTC-BTP</w:t>
            </w:r>
            <w:r w:rsidR="0089021E" w:rsidRPr="0073060A">
              <w:rPr>
                <w:sz w:val="26"/>
                <w:szCs w:val="26"/>
              </w:rPr>
              <w:t xml:space="preserve"> của liên Bộ Tài chính và </w:t>
            </w:r>
            <w:r w:rsidR="0089021E" w:rsidRPr="0073060A">
              <w:rPr>
                <w:sz w:val="26"/>
                <w:szCs w:val="26"/>
              </w:rPr>
              <w:lastRenderedPageBreak/>
              <w:t>Bộ Tư pháp</w:t>
            </w:r>
            <w:r w:rsidRPr="0073060A">
              <w:rPr>
                <w:sz w:val="26"/>
                <w:szCs w:val="26"/>
              </w:rPr>
              <w:t xml:space="preserve"> đã hết hiệu lực thi hành theo khoản 2, Điều 5, Thông tư số 64/2021/TT-BTC ngày 29/7/2021 của Bộ Tài chính </w:t>
            </w:r>
            <w:r w:rsidRPr="0073060A">
              <w:rPr>
                <w:color w:val="000000"/>
                <w:sz w:val="26"/>
                <w:szCs w:val="26"/>
                <w:shd w:val="clear" w:color="auto" w:fill="FFFFFF"/>
              </w:rPr>
              <w:t xml:space="preserve">hướng dẫn lập dự toán, quản lý, sử dụng và quyết toán kinh phí ngân sách nhà nước phục vụ hoạt động hỗ trợ pháp lý cho doanh nghiệp nhỏ và vừa. </w:t>
            </w:r>
          </w:p>
          <w:p w14:paraId="0E645D2C" w14:textId="4FCBCCAC" w:rsidR="000254C1" w:rsidRPr="0073060A" w:rsidRDefault="000254C1" w:rsidP="00023D59">
            <w:pPr>
              <w:tabs>
                <w:tab w:val="right" w:leader="dot" w:pos="8640"/>
              </w:tabs>
              <w:jc w:val="both"/>
              <w:rPr>
                <w:sz w:val="26"/>
                <w:szCs w:val="26"/>
              </w:rPr>
            </w:pPr>
            <w:r w:rsidRPr="0073060A">
              <w:rPr>
                <w:color w:val="000000"/>
                <w:sz w:val="26"/>
                <w:szCs w:val="26"/>
                <w:shd w:val="clear" w:color="auto" w:fill="FFFFFF"/>
              </w:rPr>
              <w:t xml:space="preserve">Do đó, Nghị quyết số </w:t>
            </w:r>
            <w:r w:rsidRPr="0073060A">
              <w:rPr>
                <w:bCs/>
                <w:sz w:val="26"/>
                <w:szCs w:val="26"/>
              </w:rPr>
              <w:t xml:space="preserve">14/2011/NQ-HĐND ngày 09/12/2011 không còn phù hợp với quy định hiện hành. </w:t>
            </w:r>
          </w:p>
        </w:tc>
      </w:tr>
      <w:tr w:rsidR="00B13DFF" w:rsidRPr="0073060A" w14:paraId="1F0D2989" w14:textId="77777777" w:rsidTr="00023D59">
        <w:tc>
          <w:tcPr>
            <w:tcW w:w="708" w:type="dxa"/>
            <w:shd w:val="clear" w:color="auto" w:fill="auto"/>
            <w:vAlign w:val="center"/>
          </w:tcPr>
          <w:p w14:paraId="13A04B81" w14:textId="56FF421D" w:rsidR="00B13DFF" w:rsidRPr="0073060A" w:rsidRDefault="00B13DFF" w:rsidP="00B5633B">
            <w:pPr>
              <w:widowControl w:val="0"/>
              <w:tabs>
                <w:tab w:val="right" w:leader="dot" w:pos="8640"/>
              </w:tabs>
              <w:spacing w:before="120"/>
              <w:jc w:val="center"/>
              <w:rPr>
                <w:rFonts w:eastAsia="Courier New"/>
                <w:sz w:val="26"/>
                <w:szCs w:val="26"/>
                <w:lang w:eastAsia="vi-VN"/>
              </w:rPr>
            </w:pPr>
            <w:r w:rsidRPr="0073060A">
              <w:rPr>
                <w:rFonts w:eastAsia="Courier New"/>
                <w:sz w:val="26"/>
                <w:szCs w:val="26"/>
                <w:lang w:eastAsia="vi-VN"/>
              </w:rPr>
              <w:lastRenderedPageBreak/>
              <w:t>4</w:t>
            </w:r>
          </w:p>
        </w:tc>
        <w:tc>
          <w:tcPr>
            <w:tcW w:w="1126" w:type="dxa"/>
            <w:shd w:val="clear" w:color="auto" w:fill="auto"/>
            <w:vAlign w:val="center"/>
          </w:tcPr>
          <w:p w14:paraId="077D5AD3" w14:textId="11F20B56" w:rsidR="00B13DFF" w:rsidRPr="0073060A" w:rsidRDefault="00B13DFF" w:rsidP="00B5633B">
            <w:pPr>
              <w:spacing w:before="120" w:after="120"/>
              <w:jc w:val="center"/>
              <w:rPr>
                <w:sz w:val="26"/>
                <w:szCs w:val="26"/>
              </w:rPr>
            </w:pPr>
            <w:r w:rsidRPr="0073060A">
              <w:rPr>
                <w:sz w:val="26"/>
                <w:szCs w:val="26"/>
              </w:rPr>
              <w:t>Nghị quyết</w:t>
            </w:r>
          </w:p>
        </w:tc>
        <w:tc>
          <w:tcPr>
            <w:tcW w:w="1818" w:type="dxa"/>
            <w:shd w:val="clear" w:color="auto" w:fill="auto"/>
            <w:vAlign w:val="center"/>
          </w:tcPr>
          <w:p w14:paraId="6F1204A6" w14:textId="394B3E9F" w:rsidR="00B13DFF" w:rsidRPr="0073060A" w:rsidRDefault="00B13DFF" w:rsidP="00B5633B">
            <w:pPr>
              <w:spacing w:before="120" w:after="120"/>
              <w:jc w:val="center"/>
              <w:rPr>
                <w:bCs/>
                <w:sz w:val="26"/>
                <w:szCs w:val="26"/>
              </w:rPr>
            </w:pPr>
            <w:r w:rsidRPr="0073060A">
              <w:rPr>
                <w:bCs/>
                <w:sz w:val="26"/>
                <w:szCs w:val="26"/>
              </w:rPr>
              <w:t>08/2014/NQ-HĐND ngày 08/7/2014</w:t>
            </w:r>
          </w:p>
        </w:tc>
        <w:tc>
          <w:tcPr>
            <w:tcW w:w="5279" w:type="dxa"/>
            <w:shd w:val="clear" w:color="auto" w:fill="auto"/>
            <w:vAlign w:val="center"/>
          </w:tcPr>
          <w:p w14:paraId="214956C2" w14:textId="69E89770" w:rsidR="00B13DFF" w:rsidRPr="0073060A" w:rsidRDefault="00B13DFF" w:rsidP="00B5633B">
            <w:pPr>
              <w:spacing w:before="120" w:after="120"/>
              <w:jc w:val="both"/>
              <w:rPr>
                <w:sz w:val="26"/>
                <w:szCs w:val="26"/>
              </w:rPr>
            </w:pPr>
            <w:r w:rsidRPr="0073060A">
              <w:rPr>
                <w:sz w:val="26"/>
                <w:szCs w:val="26"/>
              </w:rPr>
              <w:t>Về việc thông qua tỷ lệ điều tiết khoản thu phạt vi phạm hành chính giữa các cấp ngân sách địa phương trên địa bàn tỉnh An Giang</w:t>
            </w:r>
          </w:p>
        </w:tc>
        <w:tc>
          <w:tcPr>
            <w:tcW w:w="5954" w:type="dxa"/>
            <w:shd w:val="clear" w:color="auto" w:fill="auto"/>
          </w:tcPr>
          <w:p w14:paraId="0C050628" w14:textId="77777777" w:rsidR="007033C5" w:rsidRPr="0073060A" w:rsidRDefault="00057123" w:rsidP="00023D59">
            <w:pPr>
              <w:tabs>
                <w:tab w:val="right" w:leader="dot" w:pos="8640"/>
              </w:tabs>
              <w:jc w:val="both"/>
              <w:rPr>
                <w:color w:val="000000"/>
                <w:sz w:val="26"/>
                <w:szCs w:val="26"/>
                <w:shd w:val="clear" w:color="auto" w:fill="FFFFFF"/>
              </w:rPr>
            </w:pPr>
            <w:r w:rsidRPr="0073060A">
              <w:rPr>
                <w:sz w:val="26"/>
                <w:szCs w:val="26"/>
              </w:rPr>
              <w:t>Căn cứ pháp lý trực tiếp ban hành Nghị quyết số</w:t>
            </w:r>
            <w:r w:rsidR="00940982" w:rsidRPr="0073060A">
              <w:rPr>
                <w:sz w:val="26"/>
                <w:szCs w:val="26"/>
              </w:rPr>
              <w:t xml:space="preserve"> 08/2014/NQ-HĐND là Nghị định số 81/2013/NĐ-CP ngày 19/7/2013 của Chính phủ </w:t>
            </w:r>
            <w:r w:rsidR="00940982" w:rsidRPr="0073060A">
              <w:rPr>
                <w:color w:val="000000"/>
                <w:sz w:val="26"/>
                <w:szCs w:val="26"/>
                <w:shd w:val="clear" w:color="auto" w:fill="FFFFFF"/>
                <w:lang w:val="vi-VN"/>
              </w:rPr>
              <w:t>quy định chi tiết một số điều và biện pháp thi hành luật xử lý vi phạm hành chính</w:t>
            </w:r>
            <w:r w:rsidR="00940982" w:rsidRPr="0073060A">
              <w:rPr>
                <w:color w:val="000000"/>
                <w:sz w:val="26"/>
                <w:szCs w:val="26"/>
                <w:shd w:val="clear" w:color="auto" w:fill="FFFFFF"/>
              </w:rPr>
              <w:t xml:space="preserve">, Thông tư số 153/2013/TT-BTC ngày 31/10/2013 của Bộ Tài chính quy định về thủ tục thu, nộp tiền phạt, biên lai thu tiền phạt và kinh phí từ ngân sách nhà nước bảo đảm hoạt động của các lực lượng xử phạt vi phạm hành chính. </w:t>
            </w:r>
          </w:p>
          <w:p w14:paraId="3C981B6C" w14:textId="1B00E2AF" w:rsidR="00B13DFF" w:rsidRPr="0073060A" w:rsidRDefault="00940982" w:rsidP="00023D59">
            <w:pPr>
              <w:tabs>
                <w:tab w:val="right" w:leader="dot" w:pos="8640"/>
              </w:tabs>
              <w:jc w:val="both"/>
              <w:rPr>
                <w:color w:val="000000"/>
                <w:sz w:val="26"/>
                <w:szCs w:val="26"/>
                <w:shd w:val="clear" w:color="auto" w:fill="FFFFFF"/>
              </w:rPr>
            </w:pPr>
            <w:r w:rsidRPr="0073060A">
              <w:rPr>
                <w:color w:val="000000"/>
                <w:sz w:val="26"/>
                <w:szCs w:val="26"/>
                <w:shd w:val="clear" w:color="auto" w:fill="FFFFFF"/>
              </w:rPr>
              <w:t xml:space="preserve">Hiện nay, Nghị định số 81/2013/NĐ-CP </w:t>
            </w:r>
            <w:r w:rsidR="0089021E" w:rsidRPr="0073060A">
              <w:rPr>
                <w:color w:val="000000"/>
                <w:sz w:val="26"/>
                <w:szCs w:val="26"/>
                <w:shd w:val="clear" w:color="auto" w:fill="FFFFFF"/>
              </w:rPr>
              <w:t xml:space="preserve">của Chính phủ </w:t>
            </w:r>
            <w:r w:rsidRPr="0073060A">
              <w:rPr>
                <w:color w:val="000000"/>
                <w:sz w:val="26"/>
                <w:szCs w:val="26"/>
                <w:shd w:val="clear" w:color="auto" w:fill="FFFFFF"/>
              </w:rPr>
              <w:t>đã hết hiệu lực thi hành và được thay thế bởi Nghị định số 118/2021/NĐ-CP ngày 23/12/2021 của Chính phủ quy định chi tiết một số điều và biện pháp thi hành Luật xử lý vi phạm hành chính. Thông tư số 153/2013/TT-BTC</w:t>
            </w:r>
            <w:r w:rsidR="0089021E" w:rsidRPr="0073060A">
              <w:rPr>
                <w:color w:val="000000"/>
                <w:sz w:val="26"/>
                <w:szCs w:val="26"/>
                <w:shd w:val="clear" w:color="auto" w:fill="FFFFFF"/>
              </w:rPr>
              <w:t xml:space="preserve"> của Bộ Tài chính</w:t>
            </w:r>
            <w:r w:rsidRPr="0073060A">
              <w:rPr>
                <w:color w:val="000000"/>
                <w:sz w:val="26"/>
                <w:szCs w:val="26"/>
                <w:shd w:val="clear" w:color="auto" w:fill="FFFFFF"/>
              </w:rPr>
              <w:t xml:space="preserve"> đã hết hiệu lực </w:t>
            </w:r>
            <w:r w:rsidR="00895239" w:rsidRPr="0073060A">
              <w:rPr>
                <w:color w:val="000000"/>
                <w:sz w:val="26"/>
                <w:szCs w:val="26"/>
                <w:shd w:val="clear" w:color="auto" w:fill="FFFFFF"/>
              </w:rPr>
              <w:t xml:space="preserve">thi hành và được thay thế bởi Thông tư số 18/2023/TT-BTC ngày 21/3/2023 của Bộ Tài chính quy định về thủ tục thu, nộp tiền phạt, bù trừ số tiền nộp phạt chênh lệch, biên lai thu tiền phạt và kinh phí từ ngân sách nhà nước bảo đảm hoạt động của các lực lượng xử phạt vi phạm hành chính. </w:t>
            </w:r>
          </w:p>
          <w:p w14:paraId="15920D19" w14:textId="71F163D4" w:rsidR="00895239" w:rsidRPr="0073060A" w:rsidRDefault="00895239" w:rsidP="00023D59">
            <w:pPr>
              <w:tabs>
                <w:tab w:val="right" w:leader="dot" w:pos="8640"/>
              </w:tabs>
              <w:jc w:val="both"/>
              <w:rPr>
                <w:sz w:val="26"/>
                <w:szCs w:val="26"/>
              </w:rPr>
            </w:pPr>
            <w:r w:rsidRPr="0073060A">
              <w:rPr>
                <w:sz w:val="26"/>
                <w:szCs w:val="26"/>
              </w:rPr>
              <w:t xml:space="preserve">Do đó, Nghị quyết số </w:t>
            </w:r>
            <w:r w:rsidRPr="0073060A">
              <w:rPr>
                <w:bCs/>
                <w:sz w:val="26"/>
                <w:szCs w:val="26"/>
              </w:rPr>
              <w:t xml:space="preserve">08/2014/NQ-HĐND ngày 08/7/2014 không còn phù hợp với quy định hiện hành. </w:t>
            </w:r>
          </w:p>
        </w:tc>
      </w:tr>
    </w:tbl>
    <w:p w14:paraId="250DA9B2" w14:textId="03B23FB5" w:rsidR="00023D59" w:rsidRDefault="006F0A44" w:rsidP="00023D59">
      <w:pPr>
        <w:spacing w:before="120"/>
        <w:jc w:val="both"/>
        <w:rPr>
          <w:sz w:val="26"/>
          <w:szCs w:val="26"/>
        </w:rPr>
      </w:pPr>
      <w:r>
        <w:rPr>
          <w:i/>
          <w:iCs/>
        </w:rPr>
        <w:lastRenderedPageBreak/>
        <w:tab/>
      </w:r>
    </w:p>
    <w:p w14:paraId="3F6C78BD" w14:textId="3D56C39B" w:rsidR="00D9770D" w:rsidRPr="006F0A44" w:rsidRDefault="0073060A" w:rsidP="0073060A">
      <w:pPr>
        <w:spacing w:before="120"/>
        <w:jc w:val="both"/>
        <w:rPr>
          <w:sz w:val="26"/>
          <w:szCs w:val="26"/>
        </w:rPr>
      </w:pPr>
      <w:r>
        <w:rPr>
          <w:sz w:val="26"/>
          <w:szCs w:val="26"/>
        </w:rPr>
        <w:t xml:space="preserve"> </w:t>
      </w:r>
    </w:p>
    <w:sectPr w:rsidR="00D9770D" w:rsidRPr="006F0A44" w:rsidSect="00023D59">
      <w:headerReference w:type="default" r:id="rId7"/>
      <w:pgSz w:w="16834" w:h="11909" w:orient="landscape" w:code="9"/>
      <w:pgMar w:top="1134" w:right="851" w:bottom="992" w:left="1418" w:header="403" w:footer="561"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037F" w14:textId="77777777" w:rsidR="002D14EE" w:rsidRDefault="002D14EE">
      <w:r>
        <w:separator/>
      </w:r>
    </w:p>
  </w:endnote>
  <w:endnote w:type="continuationSeparator" w:id="0">
    <w:p w14:paraId="40682356" w14:textId="77777777" w:rsidR="002D14EE" w:rsidRDefault="002D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33BD" w14:textId="77777777" w:rsidR="002D14EE" w:rsidRDefault="002D14EE">
      <w:r>
        <w:separator/>
      </w:r>
    </w:p>
  </w:footnote>
  <w:footnote w:type="continuationSeparator" w:id="0">
    <w:p w14:paraId="25D1961E" w14:textId="77777777" w:rsidR="002D14EE" w:rsidRDefault="002D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B7DA" w14:textId="77777777" w:rsidR="004E694D" w:rsidRPr="00B526C9" w:rsidRDefault="00C94BF4">
    <w:pPr>
      <w:pStyle w:val="Header"/>
      <w:jc w:val="center"/>
      <w:rPr>
        <w:sz w:val="24"/>
        <w:szCs w:val="24"/>
      </w:rPr>
    </w:pPr>
    <w:r w:rsidRPr="00B526C9">
      <w:rPr>
        <w:sz w:val="24"/>
        <w:szCs w:val="24"/>
      </w:rPr>
      <w:fldChar w:fldCharType="begin"/>
    </w:r>
    <w:r w:rsidRPr="00B526C9">
      <w:rPr>
        <w:sz w:val="24"/>
        <w:szCs w:val="24"/>
      </w:rPr>
      <w:instrText xml:space="preserve"> PAGE   \* MERGEFORMAT </w:instrText>
    </w:r>
    <w:r w:rsidRPr="00B526C9">
      <w:rPr>
        <w:sz w:val="24"/>
        <w:szCs w:val="24"/>
      </w:rPr>
      <w:fldChar w:fldCharType="separate"/>
    </w:r>
    <w:r w:rsidR="00C42CF8" w:rsidRPr="00B526C9">
      <w:rPr>
        <w:noProof/>
        <w:sz w:val="24"/>
        <w:szCs w:val="24"/>
      </w:rPr>
      <w:t>2</w:t>
    </w:r>
    <w:r w:rsidRPr="00B526C9">
      <w:rPr>
        <w:noProof/>
        <w:sz w:val="24"/>
        <w:szCs w:val="24"/>
      </w:rPr>
      <w:fldChar w:fldCharType="end"/>
    </w:r>
  </w:p>
  <w:p w14:paraId="221AED61" w14:textId="77777777" w:rsidR="004E694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BF4"/>
    <w:rsid w:val="00017E43"/>
    <w:rsid w:val="00023D59"/>
    <w:rsid w:val="000254C1"/>
    <w:rsid w:val="00035F40"/>
    <w:rsid w:val="00057123"/>
    <w:rsid w:val="000940D3"/>
    <w:rsid w:val="000C281A"/>
    <w:rsid w:val="00117623"/>
    <w:rsid w:val="00142C21"/>
    <w:rsid w:val="00275CCC"/>
    <w:rsid w:val="002D14EE"/>
    <w:rsid w:val="0038238C"/>
    <w:rsid w:val="003A354B"/>
    <w:rsid w:val="003C21B4"/>
    <w:rsid w:val="004077F2"/>
    <w:rsid w:val="004D4984"/>
    <w:rsid w:val="005112C9"/>
    <w:rsid w:val="00580119"/>
    <w:rsid w:val="00596F0C"/>
    <w:rsid w:val="005E35AD"/>
    <w:rsid w:val="00646172"/>
    <w:rsid w:val="00675C70"/>
    <w:rsid w:val="00680DDF"/>
    <w:rsid w:val="0068762D"/>
    <w:rsid w:val="006C1848"/>
    <w:rsid w:val="006E4FA9"/>
    <w:rsid w:val="006F0A44"/>
    <w:rsid w:val="007033C5"/>
    <w:rsid w:val="007265DF"/>
    <w:rsid w:val="0073060A"/>
    <w:rsid w:val="00753EB7"/>
    <w:rsid w:val="0079425A"/>
    <w:rsid w:val="00830E9B"/>
    <w:rsid w:val="008850D6"/>
    <w:rsid w:val="0089021E"/>
    <w:rsid w:val="00895239"/>
    <w:rsid w:val="008B34D4"/>
    <w:rsid w:val="008C7F78"/>
    <w:rsid w:val="00922F05"/>
    <w:rsid w:val="00934456"/>
    <w:rsid w:val="00940982"/>
    <w:rsid w:val="00981ACA"/>
    <w:rsid w:val="00A22AB8"/>
    <w:rsid w:val="00A644CA"/>
    <w:rsid w:val="00B13C21"/>
    <w:rsid w:val="00B13DFF"/>
    <w:rsid w:val="00B526C9"/>
    <w:rsid w:val="00B6101C"/>
    <w:rsid w:val="00BD01A5"/>
    <w:rsid w:val="00BF3812"/>
    <w:rsid w:val="00C1348C"/>
    <w:rsid w:val="00C37D2A"/>
    <w:rsid w:val="00C42CF8"/>
    <w:rsid w:val="00C567AA"/>
    <w:rsid w:val="00C94BF4"/>
    <w:rsid w:val="00D2144F"/>
    <w:rsid w:val="00D566E1"/>
    <w:rsid w:val="00D57743"/>
    <w:rsid w:val="00D9770D"/>
    <w:rsid w:val="00DA123B"/>
    <w:rsid w:val="00DB3CD9"/>
    <w:rsid w:val="00DD7B7A"/>
    <w:rsid w:val="00E023D0"/>
    <w:rsid w:val="00E44B52"/>
    <w:rsid w:val="00E95461"/>
    <w:rsid w:val="00EE1914"/>
    <w:rsid w:val="00EF1326"/>
    <w:rsid w:val="00F00E81"/>
    <w:rsid w:val="00FC226C"/>
    <w:rsid w:val="00F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7A3E"/>
  <w15:docId w15:val="{21ABB75B-2A86-4579-9027-F4730603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4BF4"/>
    <w:pPr>
      <w:tabs>
        <w:tab w:val="center" w:pos="4680"/>
        <w:tab w:val="right" w:pos="9360"/>
      </w:tabs>
    </w:pPr>
  </w:style>
  <w:style w:type="character" w:customStyle="1" w:styleId="HeaderChar">
    <w:name w:val="Header Char"/>
    <w:basedOn w:val="DefaultParagraphFont"/>
    <w:link w:val="Header"/>
    <w:uiPriority w:val="99"/>
    <w:rsid w:val="00C94BF4"/>
    <w:rPr>
      <w:rFonts w:ascii="Times New Roman" w:eastAsia="Times New Roman" w:hAnsi="Times New Roman" w:cs="Times New Roman"/>
      <w:sz w:val="28"/>
      <w:szCs w:val="28"/>
    </w:rPr>
  </w:style>
  <w:style w:type="paragraph" w:styleId="NormalWeb">
    <w:name w:val="Normal (Web)"/>
    <w:basedOn w:val="Normal"/>
    <w:uiPriority w:val="99"/>
    <w:semiHidden/>
    <w:unhideWhenUsed/>
    <w:rsid w:val="00F00E81"/>
    <w:pPr>
      <w:spacing w:before="100" w:beforeAutospacing="1" w:after="100" w:afterAutospacing="1"/>
    </w:pPr>
    <w:rPr>
      <w:sz w:val="24"/>
      <w:szCs w:val="24"/>
    </w:rPr>
  </w:style>
  <w:style w:type="character" w:styleId="Hyperlink">
    <w:name w:val="Hyperlink"/>
    <w:basedOn w:val="DefaultParagraphFont"/>
    <w:uiPriority w:val="99"/>
    <w:semiHidden/>
    <w:unhideWhenUsed/>
    <w:rsid w:val="00F00E81"/>
    <w:rPr>
      <w:color w:val="0000FF"/>
      <w:u w:val="single"/>
    </w:rPr>
  </w:style>
  <w:style w:type="paragraph" w:styleId="Footer">
    <w:name w:val="footer"/>
    <w:basedOn w:val="Normal"/>
    <w:link w:val="FooterChar"/>
    <w:uiPriority w:val="99"/>
    <w:unhideWhenUsed/>
    <w:rsid w:val="00B526C9"/>
    <w:pPr>
      <w:tabs>
        <w:tab w:val="center" w:pos="4680"/>
        <w:tab w:val="right" w:pos="9360"/>
      </w:tabs>
    </w:pPr>
  </w:style>
  <w:style w:type="character" w:customStyle="1" w:styleId="FooterChar">
    <w:name w:val="Footer Char"/>
    <w:basedOn w:val="DefaultParagraphFont"/>
    <w:link w:val="Footer"/>
    <w:uiPriority w:val="99"/>
    <w:rsid w:val="00B526C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4474">
      <w:bodyDiv w:val="1"/>
      <w:marLeft w:val="0"/>
      <w:marRight w:val="0"/>
      <w:marTop w:val="0"/>
      <w:marBottom w:val="0"/>
      <w:divBdr>
        <w:top w:val="none" w:sz="0" w:space="0" w:color="auto"/>
        <w:left w:val="none" w:sz="0" w:space="0" w:color="auto"/>
        <w:bottom w:val="none" w:sz="0" w:space="0" w:color="auto"/>
        <w:right w:val="none" w:sz="0" w:space="0" w:color="auto"/>
      </w:divBdr>
    </w:div>
    <w:div w:id="1516456098">
      <w:bodyDiv w:val="1"/>
      <w:marLeft w:val="0"/>
      <w:marRight w:val="0"/>
      <w:marTop w:val="0"/>
      <w:marBottom w:val="0"/>
      <w:divBdr>
        <w:top w:val="none" w:sz="0" w:space="0" w:color="auto"/>
        <w:left w:val="none" w:sz="0" w:space="0" w:color="auto"/>
        <w:bottom w:val="none" w:sz="0" w:space="0" w:color="auto"/>
        <w:right w:val="none" w:sz="0" w:space="0" w:color="auto"/>
      </w:divBdr>
    </w:div>
    <w:div w:id="21106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FE609C5-BC73-418B-B05B-23FBE6D0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84392485278</dc:creator>
  <cp:lastModifiedBy>Thao Ly Phuong</cp:lastModifiedBy>
  <cp:revision>18</cp:revision>
  <cp:lastPrinted>2024-07-26T03:46:00Z</cp:lastPrinted>
  <dcterms:created xsi:type="dcterms:W3CDTF">2022-11-05T15:35:00Z</dcterms:created>
  <dcterms:modified xsi:type="dcterms:W3CDTF">2024-08-07T08:34:00Z</dcterms:modified>
</cp:coreProperties>
</file>